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2E988B71"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100</w:t>
      </w:r>
      <w:r w:rsidR="00A6010F">
        <w:rPr>
          <w:rFonts w:ascii="Arial" w:hAnsi="Arial" w:cs="Arial"/>
          <w:b/>
          <w:sz w:val="24"/>
        </w:rPr>
        <w:t>bis</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F60A0" w:rsidRPr="00FF60A0">
        <w:rPr>
          <w:rFonts w:ascii="Arial" w:hAnsi="Arial" w:cs="Arial"/>
          <w:b/>
          <w:sz w:val="24"/>
        </w:rPr>
        <w:t>R1-2002019</w:t>
      </w:r>
    </w:p>
    <w:p w14:paraId="2268593A" w14:textId="6444B618" w:rsidR="00906EB9" w:rsidRPr="005F5BBA" w:rsidRDefault="00467639" w:rsidP="004F072F">
      <w:pPr>
        <w:spacing w:after="0"/>
        <w:ind w:left="1988" w:hanging="1988"/>
        <w:rPr>
          <w:rFonts w:ascii="Arial" w:hAnsi="Arial" w:cs="Arial"/>
          <w:b/>
          <w:sz w:val="24"/>
        </w:rPr>
      </w:pPr>
      <w:r>
        <w:rPr>
          <w:rFonts w:ascii="Arial" w:hAnsi="Arial" w:cs="Arial"/>
          <w:b/>
          <w:sz w:val="24"/>
        </w:rPr>
        <w:t>e-Meeting</w:t>
      </w:r>
      <w:r w:rsidR="00906EB9">
        <w:rPr>
          <w:rFonts w:ascii="Arial" w:hAnsi="Arial" w:cs="Arial"/>
          <w:b/>
          <w:sz w:val="24"/>
        </w:rPr>
        <w:t xml:space="preserve">, </w:t>
      </w:r>
      <w:r w:rsidR="00640534">
        <w:rPr>
          <w:rFonts w:ascii="Arial" w:hAnsi="Arial" w:cs="Arial"/>
          <w:b/>
          <w:bCs/>
          <w:sz w:val="24"/>
          <w:szCs w:val="24"/>
          <w:lang w:eastAsia="ja-JP"/>
        </w:rPr>
        <w:t>April 20th – April 30th,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0E19CB06"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FF60A0" w:rsidRPr="00FF60A0">
        <w:rPr>
          <w:rFonts w:ascii="Arial" w:hAnsi="Arial" w:cs="Arial"/>
          <w:b/>
          <w:sz w:val="24"/>
        </w:rPr>
        <w:t xml:space="preserve">On UE features for Rel-16 </w:t>
      </w:r>
      <w:proofErr w:type="spellStart"/>
      <w:r w:rsidR="00FF60A0" w:rsidRPr="00FF60A0">
        <w:rPr>
          <w:rFonts w:ascii="Arial" w:hAnsi="Arial" w:cs="Arial"/>
          <w:b/>
          <w:sz w:val="24"/>
        </w:rPr>
        <w:t>eURLLC</w:t>
      </w:r>
      <w:proofErr w:type="spellEnd"/>
      <w:r w:rsidR="00FF60A0" w:rsidRPr="00FF60A0">
        <w:rPr>
          <w:rFonts w:ascii="Arial" w:hAnsi="Arial" w:cs="Arial"/>
          <w:b/>
          <w:sz w:val="24"/>
        </w:rPr>
        <w:t xml:space="preserve"> and </w:t>
      </w:r>
      <w:proofErr w:type="spellStart"/>
      <w:r w:rsidR="00FF60A0" w:rsidRPr="00FF60A0">
        <w:rPr>
          <w:rFonts w:ascii="Arial" w:hAnsi="Arial" w:cs="Arial"/>
          <w:b/>
          <w:sz w:val="24"/>
        </w:rPr>
        <w:t>IIoT</w:t>
      </w:r>
      <w:proofErr w:type="spellEnd"/>
    </w:p>
    <w:p w14:paraId="7ED02BDB" w14:textId="25C09C18"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Pr="00B82B64">
        <w:rPr>
          <w:rFonts w:ascii="Arial" w:hAnsi="Arial" w:cs="Arial"/>
          <w:b/>
          <w:sz w:val="24"/>
        </w:rPr>
        <w:t>7.2.</w:t>
      </w:r>
      <w:r w:rsidR="002618BF">
        <w:rPr>
          <w:rFonts w:ascii="Arial" w:hAnsi="Arial" w:cs="Arial"/>
          <w:b/>
          <w:sz w:val="24"/>
        </w:rPr>
        <w:t>11.</w:t>
      </w:r>
      <w:r w:rsidR="00467639" w:rsidRPr="00B82B64">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3A323DA7" w14:textId="760CFFD0" w:rsidR="00860B72" w:rsidRPr="00EA006F" w:rsidRDefault="00D8176C" w:rsidP="00EA006F">
      <w:pPr>
        <w:rPr>
          <w:rFonts w:eastAsia="Malgun Gothic"/>
          <w:lang w:eastAsia="ko-KR"/>
        </w:rPr>
      </w:pPr>
      <w:r w:rsidRPr="00EA006F">
        <w:rPr>
          <w:rFonts w:eastAsia="Malgun Gothic"/>
          <w:lang w:eastAsia="ko-KR"/>
        </w:rPr>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FF60A0">
        <w:rPr>
          <w:rFonts w:eastAsia="Malgun Gothic"/>
          <w:lang w:eastAsia="ko-KR"/>
        </w:rPr>
        <w:t xml:space="preserve">defining RAN1 UE features for Rel-16 </w:t>
      </w:r>
      <w:proofErr w:type="spellStart"/>
      <w:r w:rsidR="00FF60A0">
        <w:rPr>
          <w:rFonts w:eastAsia="Malgun Gothic"/>
          <w:lang w:eastAsia="ko-KR"/>
        </w:rPr>
        <w:t>eURLLC</w:t>
      </w:r>
      <w:proofErr w:type="spellEnd"/>
      <w:r w:rsidR="00FF60A0">
        <w:rPr>
          <w:rFonts w:eastAsia="Malgun Gothic"/>
          <w:lang w:eastAsia="ko-KR"/>
        </w:rPr>
        <w:t xml:space="preserve"> and </w:t>
      </w:r>
      <w:proofErr w:type="spellStart"/>
      <w:r w:rsidR="00FF60A0">
        <w:rPr>
          <w:rFonts w:eastAsia="Malgun Gothic"/>
          <w:lang w:eastAsia="ko-KR"/>
        </w:rPr>
        <w:t>IIoT</w:t>
      </w:r>
      <w:proofErr w:type="spellEnd"/>
      <w:r w:rsidR="00F445B8">
        <w:rPr>
          <w:rFonts w:eastAsia="Malgun Gothic"/>
          <w:lang w:eastAsia="ko-KR"/>
        </w:rPr>
        <w:t>.</w:t>
      </w:r>
    </w:p>
    <w:p w14:paraId="7C30198B" w14:textId="0ED0B87C" w:rsidR="002940DE" w:rsidRDefault="00833E4E" w:rsidP="00852F00">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Rel-16 UE features for </w:t>
      </w:r>
      <w:proofErr w:type="spellStart"/>
      <w:r>
        <w:rPr>
          <w:rFonts w:ascii="Arial" w:hAnsi="Arial"/>
          <w:b w:val="0"/>
          <w:bCs w:val="0"/>
          <w:sz w:val="36"/>
          <w:szCs w:val="20"/>
        </w:rPr>
        <w:t>eURLLC</w:t>
      </w:r>
      <w:proofErr w:type="spellEnd"/>
    </w:p>
    <w:p w14:paraId="3AA29F50" w14:textId="73CB8010" w:rsidR="006734A6" w:rsidRPr="006734A6" w:rsidRDefault="006734A6" w:rsidP="006734A6">
      <w:r>
        <w:t xml:space="preserve">Our views on some of the open issues related to Rel-16 </w:t>
      </w:r>
      <w:proofErr w:type="spellStart"/>
      <w:r>
        <w:t>eURLLC</w:t>
      </w:r>
      <w:proofErr w:type="spellEnd"/>
      <w:r>
        <w:t xml:space="preserve"> are listed below.</w:t>
      </w:r>
      <w:r w:rsidR="006354EA">
        <w:t xml:space="preserve"> The</w:t>
      </w:r>
      <w:r w:rsidR="003A558F">
        <w:t xml:space="preserve"> following feedback includes our responses to some of the </w:t>
      </w:r>
      <w:r w:rsidR="000D56C4">
        <w:t xml:space="preserve">follow-up </w:t>
      </w:r>
      <w:r w:rsidR="003A558F">
        <w:t>questions raised by the Rappo</w:t>
      </w:r>
      <w:r w:rsidR="0013016F">
        <w:t xml:space="preserve">rteur for </w:t>
      </w:r>
      <w:r w:rsidR="004F23D0">
        <w:t>v2_rev2 of the Rel-16 NR UE features list document.</w:t>
      </w:r>
      <w:r w:rsidR="000D56C4">
        <w:t xml:space="preserve"> Our views </w:t>
      </w:r>
      <w:r w:rsidR="006D2EA1">
        <w:t xml:space="preserve">for the remaining issues discussed as part of Round #2 of the email discussion are as </w:t>
      </w:r>
      <w:r w:rsidR="005D7A0E">
        <w:t>provided then, and not repeated here.</w:t>
      </w:r>
    </w:p>
    <w:p w14:paraId="4BA1E1F6" w14:textId="0BC6970F" w:rsidR="00A65F87" w:rsidRPr="002E5D04" w:rsidRDefault="00A65F87" w:rsidP="00A65F87">
      <w:pPr>
        <w:pStyle w:val="ListParagraph"/>
        <w:numPr>
          <w:ilvl w:val="0"/>
          <w:numId w:val="11"/>
        </w:numPr>
        <w:autoSpaceDE/>
        <w:autoSpaceDN/>
        <w:adjustRightInd/>
        <w:snapToGrid/>
        <w:spacing w:after="160" w:line="252" w:lineRule="auto"/>
        <w:ind w:left="360"/>
        <w:jc w:val="left"/>
        <w:rPr>
          <w:b/>
          <w:bCs/>
          <w:u w:val="single"/>
        </w:rPr>
      </w:pPr>
      <w:r w:rsidRPr="002E5D04">
        <w:rPr>
          <w:b/>
          <w:bCs/>
          <w:u w:val="single"/>
        </w:rPr>
        <w:t>FG #11-3</w:t>
      </w:r>
    </w:p>
    <w:p w14:paraId="1197EF97" w14:textId="67B29DBE" w:rsidR="00513D2E" w:rsidRDefault="00A65F87" w:rsidP="00544359">
      <w:pPr>
        <w:pStyle w:val="ListParagraph"/>
        <w:numPr>
          <w:ilvl w:val="0"/>
          <w:numId w:val="11"/>
        </w:numPr>
        <w:autoSpaceDE/>
        <w:autoSpaceDN/>
        <w:adjustRightInd/>
        <w:snapToGrid/>
        <w:spacing w:after="160" w:line="252" w:lineRule="auto"/>
        <w:jc w:val="left"/>
      </w:pPr>
      <w:r w:rsidRPr="00A65F87">
        <w:t>On component 3)</w:t>
      </w:r>
      <w:r w:rsidR="00513D2E">
        <w:t xml:space="preserve"> “</w:t>
      </w:r>
      <w:r w:rsidR="0041504E" w:rsidRPr="0041504E">
        <w:rPr>
          <w:i/>
          <w:iCs/>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sidR="00513D2E">
        <w:t>”</w:t>
      </w:r>
      <w:r w:rsidRPr="00A65F87">
        <w:t xml:space="preserve">, we </w:t>
      </w:r>
      <w:r w:rsidR="002E5D04">
        <w:t>don’t think this component is necessary</w:t>
      </w:r>
      <w:r w:rsidRPr="00A65F87">
        <w:t>.</w:t>
      </w:r>
      <w:r w:rsidR="00D74F06">
        <w:t xml:space="preserve"> Technical reasons bel</w:t>
      </w:r>
      <w:r w:rsidR="00513D2E">
        <w:t xml:space="preserve">ow: </w:t>
      </w:r>
    </w:p>
    <w:p w14:paraId="09D7D503" w14:textId="0AEE00D1" w:rsidR="00544359" w:rsidRDefault="00513D2E" w:rsidP="00544359">
      <w:pPr>
        <w:pStyle w:val="ListParagraph"/>
        <w:numPr>
          <w:ilvl w:val="1"/>
          <w:numId w:val="11"/>
        </w:numPr>
        <w:autoSpaceDE/>
        <w:autoSpaceDN/>
        <w:adjustRightInd/>
        <w:snapToGrid/>
        <w:spacing w:after="160" w:line="252" w:lineRule="auto"/>
        <w:jc w:val="left"/>
      </w:pPr>
      <w:r>
        <w:t>W</w:t>
      </w:r>
      <w:r w:rsidR="00A65F87" w:rsidRPr="00A65F87">
        <w:t xml:space="preserve">e don’t see a similar situation as for PDCCH monitoring cases for PUCCH transmissions. For PDCCH monitoring the associated processing for the PDCCH and any corresponding channels as indicated in the DCI occurs starting from the PDCCH </w:t>
      </w:r>
      <w:proofErr w:type="gramStart"/>
      <w:r w:rsidR="00A65F87" w:rsidRPr="00A65F87">
        <w:t>symbols, and</w:t>
      </w:r>
      <w:proofErr w:type="gramEnd"/>
      <w:r w:rsidR="00A65F87" w:rsidRPr="00A65F87">
        <w:t xml:space="preserve"> may </w:t>
      </w:r>
      <w:r w:rsidR="0023471F">
        <w:t>consume</w:t>
      </w:r>
      <w:r w:rsidR="00A65F87" w:rsidRPr="00A65F87">
        <w:t xml:space="preserve"> </w:t>
      </w:r>
      <w:r w:rsidR="0023471F">
        <w:t xml:space="preserve">additional </w:t>
      </w:r>
      <w:r w:rsidR="00A65F87" w:rsidRPr="00A65F87">
        <w:t>time beyond the last symbol of the PDCCH. Thus, consideration on minimum gap between two consecutive PDCCH monitoring spans can help how fast the processors in the UE may be freed up for the next monitoring span.</w:t>
      </w:r>
    </w:p>
    <w:p w14:paraId="02E2A4A9" w14:textId="37602EFA" w:rsidR="00A65F87" w:rsidRPr="00A65F87" w:rsidRDefault="00A65F87" w:rsidP="00544359">
      <w:pPr>
        <w:pStyle w:val="ListParagraph"/>
        <w:autoSpaceDE/>
        <w:autoSpaceDN/>
        <w:adjustRightInd/>
        <w:snapToGrid/>
        <w:spacing w:after="160" w:line="252" w:lineRule="auto"/>
        <w:ind w:left="1440"/>
        <w:jc w:val="left"/>
      </w:pPr>
      <w:r w:rsidRPr="00A65F87">
        <w:t xml:space="preserve">On the other hand, for PUCCH transmission, once the PUCCH ends, the corresponding processing resources at the UE can be freed up. </w:t>
      </w:r>
      <w:r w:rsidR="00544359">
        <w:t>It is not clear</w:t>
      </w:r>
      <w:r w:rsidRPr="00A65F87">
        <w:t xml:space="preserve"> exactly how the gap between two PUCCH transmissions makes a difference </w:t>
      </w:r>
      <w:proofErr w:type="gramStart"/>
      <w:r w:rsidRPr="00A65F87">
        <w:t>as long as</w:t>
      </w:r>
      <w:proofErr w:type="gramEnd"/>
      <w:r w:rsidRPr="00A65F87">
        <w:t xml:space="preserve"> PUCCHs are limited to respective non-overlapping sub-slots.</w:t>
      </w:r>
    </w:p>
    <w:p w14:paraId="4BD38631" w14:textId="77777777" w:rsidR="00A65F87" w:rsidRPr="002E5D04" w:rsidRDefault="00A65F87" w:rsidP="00A65F87">
      <w:pPr>
        <w:pStyle w:val="ListParagraph"/>
        <w:numPr>
          <w:ilvl w:val="0"/>
          <w:numId w:val="11"/>
        </w:numPr>
        <w:autoSpaceDE/>
        <w:autoSpaceDN/>
        <w:adjustRightInd/>
        <w:snapToGrid/>
        <w:spacing w:after="160" w:line="252" w:lineRule="auto"/>
        <w:ind w:left="360"/>
        <w:jc w:val="left"/>
        <w:rPr>
          <w:b/>
          <w:bCs/>
          <w:u w:val="single"/>
        </w:rPr>
      </w:pPr>
      <w:r w:rsidRPr="002E5D04">
        <w:rPr>
          <w:b/>
          <w:bCs/>
          <w:u w:val="single"/>
        </w:rPr>
        <w:t>FGs #11-4 and #11-4x</w:t>
      </w:r>
    </w:p>
    <w:p w14:paraId="0CCFD262" w14:textId="77777777" w:rsidR="00A65F87" w:rsidRPr="00A65F87" w:rsidRDefault="00A65F87" w:rsidP="00B32721">
      <w:pPr>
        <w:pStyle w:val="ListParagraph"/>
        <w:numPr>
          <w:ilvl w:val="0"/>
          <w:numId w:val="11"/>
        </w:numPr>
        <w:autoSpaceDE/>
        <w:autoSpaceDN/>
        <w:adjustRightInd/>
        <w:snapToGrid/>
        <w:spacing w:after="160" w:line="252" w:lineRule="auto"/>
        <w:jc w:val="left"/>
        <w:rPr>
          <w:lang w:val="en-GB"/>
        </w:rPr>
      </w:pPr>
      <w:r w:rsidRPr="00A65F87">
        <w:t>There is no notion of PDSCHs with</w:t>
      </w:r>
      <w:r w:rsidRPr="00A65F87">
        <w:rPr>
          <w:lang w:val="en-GB" w:eastAsia="zh-CN"/>
        </w:rPr>
        <w:t xml:space="preserve"> different priorities. In FG description, text should be changed to “… supporting PDSCH reception with different priorities </w:t>
      </w:r>
      <w:r w:rsidRPr="00A65F87">
        <w:rPr>
          <w:b/>
          <w:bCs/>
          <w:color w:val="FF0000"/>
          <w:u w:val="single"/>
          <w:lang w:val="en-GB" w:eastAsia="zh-CN"/>
        </w:rPr>
        <w:t>of the corresponding HARQ-ACK feedback</w:t>
      </w:r>
      <w:r w:rsidRPr="00A65F87">
        <w:rPr>
          <w:lang w:val="en-GB" w:eastAsia="zh-CN"/>
        </w:rPr>
        <w:t xml:space="preserve"> at a UE”.</w:t>
      </w:r>
    </w:p>
    <w:p w14:paraId="1BC6B625" w14:textId="48BD7B68" w:rsidR="00A65F87" w:rsidRDefault="00B32721" w:rsidP="00B32721">
      <w:pPr>
        <w:pStyle w:val="ListParagraph"/>
        <w:numPr>
          <w:ilvl w:val="0"/>
          <w:numId w:val="11"/>
        </w:numPr>
        <w:autoSpaceDE/>
        <w:autoSpaceDN/>
        <w:adjustRightInd/>
        <w:snapToGrid/>
        <w:spacing w:after="160" w:line="252" w:lineRule="auto"/>
        <w:jc w:val="left"/>
      </w:pPr>
      <w:r>
        <w:t>For</w:t>
      </w:r>
      <w:r w:rsidR="00A65F87" w:rsidRPr="00A65F87">
        <w:t xml:space="preserve"> component 4), the parts related to priorities for PUSCH should be deleted from FGs # 11-4 and 11-4x and moved to FG 12-1.</w:t>
      </w:r>
    </w:p>
    <w:p w14:paraId="28342165" w14:textId="7BDB7302" w:rsidR="007F43AC" w:rsidRPr="00E111E0" w:rsidRDefault="00E111E0" w:rsidP="00E111E0">
      <w:pPr>
        <w:pStyle w:val="ListParagraph"/>
        <w:numPr>
          <w:ilvl w:val="0"/>
          <w:numId w:val="11"/>
        </w:numPr>
        <w:rPr>
          <w:i/>
          <w:iCs/>
        </w:rPr>
      </w:pPr>
      <w:r>
        <w:rPr>
          <w:i/>
          <w:iCs/>
        </w:rPr>
        <w:t xml:space="preserve">Rapporteur: </w:t>
      </w:r>
      <w:r w:rsidRPr="00E111E0">
        <w:rPr>
          <w:i/>
          <w:iCs/>
        </w:rPr>
        <w:t>“</w:t>
      </w:r>
      <w:r w:rsidRPr="00E111E0">
        <w:rPr>
          <w:i/>
          <w:iCs/>
        </w:rPr>
        <w:t>Whether to set separate UE capabilities for scheduling PDSCH with different HARQ-ACK priorities or PUSCH with different priorities by DCI format 1_1/0_1 and DCI format 1_2/0_2? i.e. capability 1 for scheduling PDSCH with different HARQ-ACK priorities or PUSCH with different priorities by DCI format 1_1/0_1 and capability 2 for scheduling PDSCH with different HARQ-ACK priorities or PUSCH with different priorities by DCI format 1_2/0_2</w:t>
      </w:r>
      <w:r w:rsidRPr="00E111E0">
        <w:rPr>
          <w:i/>
          <w:iCs/>
        </w:rPr>
        <w:t>”</w:t>
      </w:r>
    </w:p>
    <w:p w14:paraId="1D1AFD82" w14:textId="32C8D5CF" w:rsidR="00E111E0" w:rsidRPr="00A65F87" w:rsidRDefault="00E111E0" w:rsidP="00E111E0">
      <w:pPr>
        <w:pStyle w:val="ListParagraph"/>
        <w:numPr>
          <w:ilvl w:val="1"/>
          <w:numId w:val="11"/>
        </w:numPr>
      </w:pPr>
      <w:r>
        <w:t xml:space="preserve">Intel view: </w:t>
      </w:r>
      <w:r w:rsidR="00480DE2" w:rsidRPr="00480DE2">
        <w:t>No, we don’t see any need to separate capabilities based on whether different priorities may only be triggered by 1_1/0_1 or by 1_2/0_2.</w:t>
      </w:r>
      <w:r w:rsidR="00480DE2">
        <w:t xml:space="preserve"> </w:t>
      </w:r>
      <w:r w:rsidR="00357949">
        <w:t xml:space="preserve">Regarding early deployments and </w:t>
      </w:r>
      <w:proofErr w:type="spellStart"/>
      <w:r w:rsidR="00357949">
        <w:t>IoDT</w:t>
      </w:r>
      <w:proofErr w:type="spellEnd"/>
      <w:r w:rsidR="00357949">
        <w:t xml:space="preserve"> considerations, we don’t see any issue – if </w:t>
      </w:r>
      <w:proofErr w:type="spellStart"/>
      <w:r w:rsidR="00357949">
        <w:t>gNB</w:t>
      </w:r>
      <w:proofErr w:type="spellEnd"/>
      <w:r w:rsidR="00357949">
        <w:t xml:space="preserve"> and UE support the feature and </w:t>
      </w:r>
      <w:r w:rsidR="00357949">
        <w:lastRenderedPageBreak/>
        <w:t>formats 0_2/1_2, then the new formats should be applicable, else, not. No need for further capability indication in this regard.</w:t>
      </w:r>
      <w:r w:rsidR="00480DE2">
        <w:t xml:space="preserve"> </w:t>
      </w:r>
    </w:p>
    <w:p w14:paraId="42E8E551" w14:textId="77777777" w:rsidR="00A65F87" w:rsidRPr="002E5D04" w:rsidRDefault="00A65F87" w:rsidP="00A65F87">
      <w:pPr>
        <w:pStyle w:val="ListParagraph"/>
        <w:numPr>
          <w:ilvl w:val="0"/>
          <w:numId w:val="11"/>
        </w:numPr>
        <w:autoSpaceDE/>
        <w:autoSpaceDN/>
        <w:adjustRightInd/>
        <w:snapToGrid/>
        <w:spacing w:after="160" w:line="252" w:lineRule="auto"/>
        <w:ind w:left="360"/>
        <w:jc w:val="left"/>
        <w:rPr>
          <w:b/>
          <w:bCs/>
          <w:u w:val="single"/>
        </w:rPr>
      </w:pPr>
      <w:r w:rsidRPr="002E5D04">
        <w:rPr>
          <w:b/>
          <w:bCs/>
          <w:u w:val="single"/>
        </w:rPr>
        <w:t xml:space="preserve">FG #11-5 </w:t>
      </w:r>
    </w:p>
    <w:p w14:paraId="50E51D47" w14:textId="4625E787" w:rsidR="002E5D04" w:rsidRDefault="00A65F87" w:rsidP="00A65F87">
      <w:pPr>
        <w:pStyle w:val="ListParagraph"/>
        <w:numPr>
          <w:ilvl w:val="0"/>
          <w:numId w:val="11"/>
        </w:numPr>
        <w:autoSpaceDE/>
        <w:autoSpaceDN/>
        <w:adjustRightInd/>
        <w:snapToGrid/>
        <w:spacing w:after="160" w:line="252" w:lineRule="auto"/>
        <w:jc w:val="left"/>
      </w:pPr>
      <w:r w:rsidRPr="00A65F87">
        <w:rPr>
          <w:lang w:eastAsia="zh-CN"/>
        </w:rPr>
        <w:t xml:space="preserve">For Component #9, the suggested text </w:t>
      </w:r>
      <w:r>
        <w:rPr>
          <w:lang w:eastAsia="zh-CN"/>
        </w:rPr>
        <w:t>is not</w:t>
      </w:r>
      <w:r w:rsidRPr="00A65F87">
        <w:rPr>
          <w:lang w:eastAsia="zh-CN"/>
        </w:rPr>
        <w:t xml:space="preserve"> appropriate as a description of a component feature. </w:t>
      </w:r>
      <w:r>
        <w:rPr>
          <w:lang w:eastAsia="zh-CN"/>
        </w:rPr>
        <w:t xml:space="preserve">We propose </w:t>
      </w:r>
      <w:r w:rsidRPr="00A65F87">
        <w:rPr>
          <w:lang w:eastAsia="zh-CN"/>
        </w:rPr>
        <w:t xml:space="preserve">to update </w:t>
      </w:r>
      <w:r>
        <w:rPr>
          <w:lang w:eastAsia="zh-CN"/>
        </w:rPr>
        <w:t xml:space="preserve">to </w:t>
      </w:r>
      <w:r w:rsidRPr="00A65F87">
        <w:rPr>
          <w:lang w:eastAsia="zh-CN"/>
        </w:rPr>
        <w:t>“</w:t>
      </w:r>
      <w:r w:rsidRPr="00A65F87">
        <w:rPr>
          <w:i/>
          <w:iCs/>
          <w:color w:val="FF0000"/>
          <w:lang w:eastAsia="zh-CN"/>
        </w:rPr>
        <w:t>9) Frequency hopping based on reported capability</w:t>
      </w:r>
      <w:r w:rsidRPr="00A65F87">
        <w:rPr>
          <w:lang w:eastAsia="zh-CN"/>
        </w:rPr>
        <w:t xml:space="preserve">”. </w:t>
      </w:r>
    </w:p>
    <w:p w14:paraId="50363C08" w14:textId="309EA322" w:rsidR="00666723" w:rsidRPr="00A65F87" w:rsidRDefault="00A65F87" w:rsidP="002E5D04">
      <w:pPr>
        <w:pStyle w:val="ListParagraph"/>
        <w:numPr>
          <w:ilvl w:val="1"/>
          <w:numId w:val="11"/>
        </w:numPr>
        <w:autoSpaceDE/>
        <w:autoSpaceDN/>
        <w:adjustRightInd/>
        <w:snapToGrid/>
        <w:spacing w:after="160" w:line="252" w:lineRule="auto"/>
        <w:jc w:val="left"/>
      </w:pPr>
      <w:r w:rsidRPr="00A65F87">
        <w:rPr>
          <w:lang w:eastAsia="zh-CN"/>
        </w:rPr>
        <w:t>Also, if we take this approach, then need to add the candidate values that may be indicated in the Note column –</w:t>
      </w:r>
      <w:r w:rsidRPr="00A65F87">
        <w:rPr>
          <w:i/>
          <w:iCs/>
          <w:lang w:eastAsia="zh-CN"/>
        </w:rPr>
        <w:t xml:space="preserve"> </w:t>
      </w:r>
      <w:r w:rsidRPr="00A65F87">
        <w:rPr>
          <w:i/>
          <w:iCs/>
          <w:color w:val="FF0000"/>
          <w:lang w:eastAsia="zh-CN"/>
        </w:rPr>
        <w:t>“Candidates for Component 9): {No hopping; Inter-slot hopping; Inter-repetition hopping}”</w:t>
      </w:r>
      <w:r w:rsidRPr="00A65F87">
        <w:rPr>
          <w:lang w:eastAsia="zh-CN"/>
        </w:rPr>
        <w:t>.</w:t>
      </w:r>
    </w:p>
    <w:p w14:paraId="5D4C9BE7" w14:textId="73E1835D" w:rsidR="00833E4E" w:rsidRDefault="00833E4E"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Rel-16 UE features for </w:t>
      </w:r>
      <w:proofErr w:type="spellStart"/>
      <w:r>
        <w:rPr>
          <w:rFonts w:ascii="Arial" w:hAnsi="Arial"/>
          <w:b w:val="0"/>
          <w:bCs w:val="0"/>
          <w:sz w:val="36"/>
          <w:szCs w:val="20"/>
        </w:rPr>
        <w:t>IIoT</w:t>
      </w:r>
      <w:proofErr w:type="spellEnd"/>
    </w:p>
    <w:p w14:paraId="166CAC01" w14:textId="09D96384" w:rsidR="00F902BE" w:rsidRPr="006734A6" w:rsidRDefault="00F902BE" w:rsidP="00F902BE">
      <w:r>
        <w:t xml:space="preserve">Our views on some of the open issues related to Rel-16 </w:t>
      </w:r>
      <w:proofErr w:type="spellStart"/>
      <w:r>
        <w:t>IIoT</w:t>
      </w:r>
      <w:proofErr w:type="spellEnd"/>
      <w:r>
        <w:t xml:space="preserve"> are listed below. The following feedback includes our responses to some of the follow-up questions raised by the Rapporteur for v2_rev2 of the Rel-16 NR UE features list document. Our views for the remaining issues discussed as part of Round #2 of the email discussion are as provided then, and not repeated here.</w:t>
      </w:r>
    </w:p>
    <w:p w14:paraId="7995A2FC" w14:textId="69650E35" w:rsidR="005F4524" w:rsidRDefault="00F902BE" w:rsidP="005F4524">
      <w:pPr>
        <w:pStyle w:val="ListParagraph"/>
        <w:numPr>
          <w:ilvl w:val="0"/>
          <w:numId w:val="11"/>
        </w:numPr>
        <w:autoSpaceDE/>
        <w:autoSpaceDN/>
        <w:adjustRightInd/>
        <w:snapToGrid/>
        <w:spacing w:after="160" w:line="252" w:lineRule="auto"/>
        <w:ind w:left="360"/>
        <w:jc w:val="left"/>
        <w:rPr>
          <w:b/>
          <w:bCs/>
          <w:u w:val="single"/>
        </w:rPr>
      </w:pPr>
      <w:r w:rsidRPr="002E5D04">
        <w:rPr>
          <w:b/>
          <w:bCs/>
          <w:u w:val="single"/>
        </w:rPr>
        <w:t>FG #1</w:t>
      </w:r>
      <w:r w:rsidR="005F4524">
        <w:rPr>
          <w:b/>
          <w:bCs/>
          <w:u w:val="single"/>
        </w:rPr>
        <w:t>2-1</w:t>
      </w:r>
    </w:p>
    <w:p w14:paraId="711A083F" w14:textId="19B38E9F" w:rsidR="00C87B82" w:rsidRPr="005479CB" w:rsidRDefault="005479CB" w:rsidP="005F4524">
      <w:pPr>
        <w:pStyle w:val="ListParagraph"/>
        <w:numPr>
          <w:ilvl w:val="0"/>
          <w:numId w:val="11"/>
        </w:numPr>
        <w:autoSpaceDE/>
        <w:autoSpaceDN/>
        <w:adjustRightInd/>
        <w:snapToGrid/>
        <w:spacing w:after="160" w:line="252" w:lineRule="auto"/>
        <w:jc w:val="left"/>
        <w:rPr>
          <w:b/>
          <w:bCs/>
          <w:i/>
          <w:iCs/>
          <w:u w:val="single"/>
        </w:rPr>
      </w:pPr>
      <w:r w:rsidRPr="005479CB">
        <w:rPr>
          <w:b/>
          <w:bCs/>
          <w:i/>
          <w:iCs/>
          <w:u w:val="single"/>
        </w:rPr>
        <w:t>Rapporteur</w:t>
      </w:r>
      <w:r w:rsidRPr="005479CB">
        <w:rPr>
          <w:i/>
          <w:iCs/>
        </w:rPr>
        <w:t xml:space="preserve">: </w:t>
      </w:r>
      <w:r w:rsidR="00C87B82" w:rsidRPr="005479CB">
        <w:rPr>
          <w:i/>
          <w:iCs/>
        </w:rPr>
        <w:t>The relationship between this feature and the feature of up to two HARQ-ACK codebooks of 11-4[x] including merging these features should be further discussed.</w:t>
      </w:r>
    </w:p>
    <w:p w14:paraId="64DEE836" w14:textId="5C6D77AD" w:rsidR="005F4524" w:rsidRPr="00F80F0F" w:rsidRDefault="005479CB" w:rsidP="00C87B82">
      <w:pPr>
        <w:pStyle w:val="ListParagraph"/>
        <w:numPr>
          <w:ilvl w:val="1"/>
          <w:numId w:val="11"/>
        </w:numPr>
        <w:autoSpaceDE/>
        <w:autoSpaceDN/>
        <w:adjustRightInd/>
        <w:snapToGrid/>
        <w:spacing w:after="160" w:line="252" w:lineRule="auto"/>
        <w:jc w:val="left"/>
        <w:rPr>
          <w:b/>
          <w:bCs/>
          <w:i/>
          <w:iCs/>
          <w:u w:val="single"/>
        </w:rPr>
      </w:pPr>
      <w:r w:rsidRPr="005479CB">
        <w:rPr>
          <w:b/>
          <w:bCs/>
          <w:i/>
          <w:iCs/>
          <w:u w:val="single"/>
        </w:rPr>
        <w:t>Intel:</w:t>
      </w:r>
      <w:r w:rsidRPr="005479CB">
        <w:t xml:space="preserve"> </w:t>
      </w:r>
      <w:r w:rsidRPr="005479CB">
        <w:t xml:space="preserve">Currently, </w:t>
      </w:r>
      <w:r>
        <w:t>FG #</w:t>
      </w:r>
      <w:r w:rsidRPr="005479CB">
        <w:t xml:space="preserve">11-4 and </w:t>
      </w:r>
      <w:r>
        <w:t>FG #</w:t>
      </w:r>
      <w:r w:rsidRPr="005479CB">
        <w:t>12-1 are mutually ex</w:t>
      </w:r>
      <w:r>
        <w:t>c</w:t>
      </w:r>
      <w:r w:rsidRPr="005479CB">
        <w:t>lusive (</w:t>
      </w:r>
      <w:r>
        <w:t>#</w:t>
      </w:r>
      <w:r w:rsidRPr="005479CB">
        <w:t>11-4 is about prior</w:t>
      </w:r>
      <w:r>
        <w:t>it</w:t>
      </w:r>
      <w:r w:rsidRPr="005479CB">
        <w:t xml:space="preserve">ization of HARQ-ACK, while </w:t>
      </w:r>
      <w:r w:rsidR="00F80F0F">
        <w:t>#</w:t>
      </w:r>
      <w:r w:rsidRPr="005479CB">
        <w:t xml:space="preserve">12-1 covers other applicable channels/procedures). Thus, </w:t>
      </w:r>
      <w:r w:rsidR="00F80F0F">
        <w:t>these should not be coupled</w:t>
      </w:r>
      <w:r w:rsidRPr="005479CB">
        <w:t xml:space="preserve"> from a functionality perspective either. </w:t>
      </w:r>
    </w:p>
    <w:p w14:paraId="6E951C95" w14:textId="3E161D06" w:rsidR="00F80F0F" w:rsidRPr="00741F16" w:rsidRDefault="00CB4D66" w:rsidP="00F80F0F">
      <w:pPr>
        <w:pStyle w:val="ListParagraph"/>
        <w:numPr>
          <w:ilvl w:val="0"/>
          <w:numId w:val="11"/>
        </w:numPr>
        <w:autoSpaceDE/>
        <w:autoSpaceDN/>
        <w:adjustRightInd/>
        <w:snapToGrid/>
        <w:spacing w:after="160" w:line="252" w:lineRule="auto"/>
        <w:jc w:val="left"/>
        <w:rPr>
          <w:b/>
          <w:bCs/>
          <w:i/>
          <w:iCs/>
          <w:u w:val="single"/>
        </w:rPr>
      </w:pPr>
      <w:r>
        <w:t xml:space="preserve">From </w:t>
      </w:r>
      <w:r w:rsidR="00463F3F">
        <w:t>C</w:t>
      </w:r>
      <w:r w:rsidR="00463F3F" w:rsidRPr="00A65F87">
        <w:t>omponent 4)</w:t>
      </w:r>
      <w:r w:rsidR="00463F3F">
        <w:t xml:space="preserve"> </w:t>
      </w:r>
      <w:r>
        <w:t>of</w:t>
      </w:r>
      <w:r w:rsidR="00463F3F">
        <w:t xml:space="preserve"> FG #11-4</w:t>
      </w:r>
      <w:r w:rsidR="00463F3F" w:rsidRPr="00A65F87">
        <w:t xml:space="preserve">, the parts related to priorities for PUSCH should be </w:t>
      </w:r>
      <w:r>
        <w:t>m</w:t>
      </w:r>
      <w:r w:rsidR="00463F3F" w:rsidRPr="00A65F87">
        <w:t xml:space="preserve">oved to FG </w:t>
      </w:r>
      <w:r>
        <w:t>#</w:t>
      </w:r>
      <w:r w:rsidR="00463F3F" w:rsidRPr="00A65F87">
        <w:t>12-1.</w:t>
      </w:r>
    </w:p>
    <w:p w14:paraId="716435D6" w14:textId="399B99D9" w:rsidR="00741F16" w:rsidRPr="00A8543F" w:rsidRDefault="001D635D" w:rsidP="00F80F0F">
      <w:pPr>
        <w:pStyle w:val="ListParagraph"/>
        <w:numPr>
          <w:ilvl w:val="0"/>
          <w:numId w:val="11"/>
        </w:numPr>
        <w:autoSpaceDE/>
        <w:autoSpaceDN/>
        <w:adjustRightInd/>
        <w:snapToGrid/>
        <w:spacing w:after="160" w:line="252" w:lineRule="auto"/>
        <w:jc w:val="left"/>
        <w:rPr>
          <w:b/>
          <w:bCs/>
          <w:i/>
          <w:iCs/>
          <w:u w:val="single"/>
        </w:rPr>
      </w:pPr>
      <w:r>
        <w:t xml:space="preserve">In the Note column, </w:t>
      </w:r>
      <w:r w:rsidR="00A8543F">
        <w:t xml:space="preserve">modify as: </w:t>
      </w:r>
      <w:r w:rsidR="00A8543F">
        <w:t xml:space="preserve">A UE supporting this feature shall also support </w:t>
      </w:r>
      <w:r w:rsidR="00A8543F" w:rsidRPr="00A8543F">
        <w:rPr>
          <w:strike/>
          <w:color w:val="C00000"/>
        </w:rPr>
        <w:t>the LCP restriction based on DCI priority indication ([</w:t>
      </w:r>
      <w:r w:rsidR="00A8543F" w:rsidRPr="00A8543F">
        <w:rPr>
          <w:i/>
          <w:strike/>
          <w:color w:val="C00000"/>
        </w:rPr>
        <w:t>lch-ToGrantPriorityRestriction-r16</w:t>
      </w:r>
      <w:r w:rsidR="00A8543F" w:rsidRPr="00A8543F">
        <w:rPr>
          <w:strike/>
          <w:color w:val="C00000"/>
        </w:rPr>
        <w:t xml:space="preserve">]) and </w:t>
      </w:r>
      <w:r w:rsidR="00A8543F">
        <w:rPr>
          <w:rFonts w:eastAsia="Times New Roman"/>
        </w:rPr>
        <w:t>intra-UE prioritization in MAC ([</w:t>
      </w:r>
      <w:r w:rsidR="00A8543F">
        <w:rPr>
          <w:rFonts w:eastAsia="Times New Roman"/>
          <w:i/>
        </w:rPr>
        <w:t>lch-PriorityBasedPrioritization-r16</w:t>
      </w:r>
      <w:r w:rsidR="00A8543F">
        <w:rPr>
          <w:rFonts w:eastAsia="Times New Roman"/>
        </w:rPr>
        <w:t>])</w:t>
      </w:r>
      <w:r w:rsidR="00A8543F">
        <w:t xml:space="preserve">. </w:t>
      </w:r>
      <w:r w:rsidR="00A8543F">
        <w:t>Technical reason below:</w:t>
      </w:r>
    </w:p>
    <w:p w14:paraId="2D7978D4" w14:textId="1B4EAAFD" w:rsidR="00833E4E" w:rsidRPr="008D24CE" w:rsidRDefault="00A8543F" w:rsidP="00833E4E">
      <w:pPr>
        <w:pStyle w:val="ListParagraph"/>
        <w:numPr>
          <w:ilvl w:val="1"/>
          <w:numId w:val="11"/>
        </w:numPr>
        <w:autoSpaceDE/>
        <w:autoSpaceDN/>
        <w:adjustRightInd/>
        <w:snapToGrid/>
        <w:spacing w:after="160" w:line="252" w:lineRule="auto"/>
        <w:jc w:val="left"/>
        <w:rPr>
          <w:b/>
          <w:bCs/>
          <w:i/>
          <w:iCs/>
          <w:u w:val="single"/>
        </w:rPr>
      </w:pPr>
      <w:r>
        <w:t xml:space="preserve">The support of LCP restriction based on DCI priority requires support of 12-1 as a </w:t>
      </w:r>
      <w:r w:rsidR="00F30343">
        <w:t xml:space="preserve">pre-requisite, and this dependency is </w:t>
      </w:r>
      <w:proofErr w:type="gramStart"/>
      <w:r w:rsidR="00F30343">
        <w:t>sufficient</w:t>
      </w:r>
      <w:proofErr w:type="gramEnd"/>
      <w:r w:rsidR="00F30343">
        <w:t xml:space="preserve">. A UE reporting support of FG #12-1 should not be mandated to also support DCI </w:t>
      </w:r>
      <w:proofErr w:type="gramStart"/>
      <w:r w:rsidR="00F30343">
        <w:t>indication based</w:t>
      </w:r>
      <w:proofErr w:type="gramEnd"/>
      <w:r w:rsidR="00F30343">
        <w:t xml:space="preserve"> LCP restriction. </w:t>
      </w:r>
    </w:p>
    <w:p w14:paraId="359FAAAE" w14:textId="7BD0464C" w:rsidR="0030379C" w:rsidRDefault="0030379C"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Pr>
          <w:rFonts w:ascii="Arial" w:hAnsi="Arial"/>
          <w:b w:val="0"/>
          <w:bCs w:val="0"/>
          <w:sz w:val="36"/>
          <w:szCs w:val="20"/>
        </w:rPr>
        <w:t xml:space="preserve">Defining basic feature set for </w:t>
      </w:r>
      <w:proofErr w:type="spellStart"/>
      <w:r>
        <w:rPr>
          <w:rFonts w:ascii="Arial" w:hAnsi="Arial"/>
          <w:b w:val="0"/>
          <w:bCs w:val="0"/>
          <w:sz w:val="36"/>
          <w:szCs w:val="20"/>
        </w:rPr>
        <w:t>eURLLC</w:t>
      </w:r>
      <w:proofErr w:type="spellEnd"/>
      <w:r>
        <w:rPr>
          <w:rFonts w:ascii="Arial" w:hAnsi="Arial"/>
          <w:b w:val="0"/>
          <w:bCs w:val="0"/>
          <w:sz w:val="36"/>
          <w:szCs w:val="20"/>
        </w:rPr>
        <w:t>/</w:t>
      </w:r>
      <w:proofErr w:type="spellStart"/>
      <w:r>
        <w:rPr>
          <w:rFonts w:ascii="Arial" w:hAnsi="Arial"/>
          <w:b w:val="0"/>
          <w:bCs w:val="0"/>
          <w:sz w:val="36"/>
          <w:szCs w:val="20"/>
        </w:rPr>
        <w:t>IIoT</w:t>
      </w:r>
      <w:proofErr w:type="spellEnd"/>
    </w:p>
    <w:p w14:paraId="51AD7BBF" w14:textId="77777777" w:rsidR="00F6532A" w:rsidRDefault="00ED7F9F" w:rsidP="0030379C">
      <w:pPr>
        <w:rPr>
          <w:rFonts w:eastAsia="Times New Roman"/>
          <w:szCs w:val="24"/>
        </w:rPr>
      </w:pPr>
      <w:r>
        <w:t xml:space="preserve">In our view, </w:t>
      </w:r>
      <w:r w:rsidRPr="00B8251A">
        <w:rPr>
          <w:rFonts w:eastAsia="Times New Roman"/>
          <w:szCs w:val="24"/>
        </w:rPr>
        <w:t xml:space="preserve">there is no technical basis to try to define a “basic set of features for URLLC”. </w:t>
      </w:r>
    </w:p>
    <w:p w14:paraId="32904E5F" w14:textId="1A2780D6" w:rsidR="00F6532A" w:rsidRDefault="00ED7F9F" w:rsidP="0030379C">
      <w:pPr>
        <w:rPr>
          <w:rFonts w:eastAsia="Times New Roman"/>
          <w:szCs w:val="24"/>
        </w:rPr>
      </w:pPr>
      <w:r w:rsidRPr="00B8251A">
        <w:rPr>
          <w:rFonts w:eastAsia="Times New Roman"/>
          <w:szCs w:val="24"/>
        </w:rPr>
        <w:t xml:space="preserve">Given the diverse set of use cases and requirements that relate to various combinations of latency and reliability, there is no justification to assume a </w:t>
      </w:r>
      <w:proofErr w:type="gramStart"/>
      <w:r w:rsidRPr="00B8251A">
        <w:rPr>
          <w:rFonts w:eastAsia="Times New Roman"/>
          <w:szCs w:val="24"/>
        </w:rPr>
        <w:t>particular</w:t>
      </w:r>
      <w:r>
        <w:rPr>
          <w:rFonts w:eastAsia="Times New Roman"/>
          <w:szCs w:val="24"/>
        </w:rPr>
        <w:t xml:space="preserve"> </w:t>
      </w:r>
      <w:r w:rsidRPr="00B8251A">
        <w:rPr>
          <w:rFonts w:eastAsia="Times New Roman"/>
          <w:szCs w:val="24"/>
        </w:rPr>
        <w:t>set</w:t>
      </w:r>
      <w:proofErr w:type="gramEnd"/>
      <w:r w:rsidRPr="00B8251A">
        <w:rPr>
          <w:rFonts w:eastAsia="Times New Roman"/>
          <w:szCs w:val="24"/>
        </w:rPr>
        <w:t xml:space="preserve"> of QoS targets, or to </w:t>
      </w:r>
      <w:r w:rsidR="00F6532A">
        <w:rPr>
          <w:rFonts w:eastAsia="Times New Roman"/>
          <w:szCs w:val="24"/>
        </w:rPr>
        <w:t>select</w:t>
      </w:r>
      <w:r w:rsidRPr="00B8251A">
        <w:rPr>
          <w:rFonts w:eastAsia="Times New Roman"/>
          <w:szCs w:val="24"/>
        </w:rPr>
        <w:t xml:space="preserve"> certain feature groups/components over others. All feature groups (FGs) developed as part of Rel-16 </w:t>
      </w:r>
      <w:proofErr w:type="spellStart"/>
      <w:r w:rsidRPr="00B8251A">
        <w:rPr>
          <w:rFonts w:eastAsia="Times New Roman"/>
          <w:szCs w:val="24"/>
        </w:rPr>
        <w:t>eURLLC</w:t>
      </w:r>
      <w:proofErr w:type="spellEnd"/>
      <w:r w:rsidRPr="00B8251A">
        <w:rPr>
          <w:rFonts w:eastAsia="Times New Roman"/>
          <w:szCs w:val="24"/>
        </w:rPr>
        <w:t xml:space="preserve"> either help with reducing latency or increasing reliability or both, and we do</w:t>
      </w:r>
      <w:r w:rsidR="00F6532A">
        <w:rPr>
          <w:rFonts w:eastAsia="Times New Roman"/>
          <w:szCs w:val="24"/>
        </w:rPr>
        <w:t xml:space="preserve"> </w:t>
      </w:r>
      <w:r w:rsidRPr="00B8251A">
        <w:rPr>
          <w:rFonts w:eastAsia="Times New Roman"/>
          <w:szCs w:val="24"/>
        </w:rPr>
        <w:t>n</w:t>
      </w:r>
      <w:r w:rsidR="00F6532A">
        <w:rPr>
          <w:rFonts w:eastAsia="Times New Roman"/>
          <w:szCs w:val="24"/>
        </w:rPr>
        <w:t>o</w:t>
      </w:r>
      <w:r w:rsidRPr="00B8251A">
        <w:rPr>
          <w:rFonts w:eastAsia="Times New Roman"/>
          <w:szCs w:val="24"/>
        </w:rPr>
        <w:t>t see certain features as “more basic” than others. Different combinations of FGs can be useful in different scenarios and use cases. Any coupling between features (e.g., via pre-requisites) should be based on functional or operational correlation between the features, not arbitrarily based on certain hypothesized use cases.</w:t>
      </w:r>
    </w:p>
    <w:p w14:paraId="322F441A" w14:textId="77777777" w:rsidR="00394F94" w:rsidRDefault="00F6532A" w:rsidP="00394F94">
      <w:pPr>
        <w:spacing w:beforeLines="50" w:before="120"/>
        <w:rPr>
          <w:rFonts w:eastAsiaTheme="minorEastAsia"/>
          <w:b/>
          <w:i/>
          <w:kern w:val="2"/>
          <w:lang w:eastAsia="zh-CN"/>
        </w:rPr>
      </w:pPr>
      <w:r>
        <w:rPr>
          <w:rFonts w:eastAsia="Times New Roman"/>
          <w:szCs w:val="24"/>
        </w:rPr>
        <w:t xml:space="preserve">Subsequently, it has been proposed by the Rapporteur </w:t>
      </w:r>
      <w:r w:rsidR="00B37523">
        <w:rPr>
          <w:rFonts w:eastAsia="Times New Roman"/>
          <w:szCs w:val="24"/>
        </w:rPr>
        <w:t xml:space="preserve">for Rel-16 </w:t>
      </w:r>
      <w:proofErr w:type="spellStart"/>
      <w:r w:rsidR="00B37523">
        <w:rPr>
          <w:rFonts w:eastAsia="Times New Roman"/>
          <w:szCs w:val="24"/>
        </w:rPr>
        <w:t>eURLLC</w:t>
      </w:r>
      <w:proofErr w:type="spellEnd"/>
      <w:r w:rsidR="00B37523">
        <w:rPr>
          <w:rFonts w:eastAsia="Times New Roman"/>
          <w:szCs w:val="24"/>
        </w:rPr>
        <w:t xml:space="preserve"> to consider the following approach: </w:t>
      </w:r>
      <w:r w:rsidR="00B37523">
        <w:rPr>
          <w:rFonts w:eastAsia="Times New Roman"/>
          <w:szCs w:val="24"/>
        </w:rPr>
        <w:br/>
      </w:r>
    </w:p>
    <w:tbl>
      <w:tblPr>
        <w:tblStyle w:val="TableGrid"/>
        <w:tblW w:w="0" w:type="auto"/>
        <w:tblLook w:val="04A0" w:firstRow="1" w:lastRow="0" w:firstColumn="1" w:lastColumn="0" w:noHBand="0" w:noVBand="1"/>
      </w:tblPr>
      <w:tblGrid>
        <w:gridCol w:w="9350"/>
      </w:tblGrid>
      <w:tr w:rsidR="00394F94" w14:paraId="6231C675" w14:textId="77777777" w:rsidTr="00394F94">
        <w:tc>
          <w:tcPr>
            <w:tcW w:w="9350" w:type="dxa"/>
          </w:tcPr>
          <w:p w14:paraId="4A5779D4" w14:textId="77777777" w:rsidR="00394F94" w:rsidRPr="000D2BB6" w:rsidRDefault="00394F94" w:rsidP="00394F94">
            <w:pPr>
              <w:spacing w:beforeLines="50" w:before="120"/>
              <w:rPr>
                <w:rFonts w:eastAsiaTheme="minorEastAsia"/>
                <w:kern w:val="2"/>
                <w:sz w:val="22"/>
                <w:szCs w:val="22"/>
              </w:rPr>
            </w:pPr>
            <w:r>
              <w:rPr>
                <w:rFonts w:eastAsiaTheme="minorEastAsia"/>
                <w:b/>
                <w:i/>
                <w:kern w:val="2"/>
              </w:rPr>
              <w:t xml:space="preserve">[Proposed] </w:t>
            </w:r>
            <w:r w:rsidRPr="000D2BB6">
              <w:rPr>
                <w:rFonts w:eastAsiaTheme="minorEastAsia" w:hint="eastAsia"/>
                <w:b/>
                <w:i/>
                <w:kern w:val="2"/>
                <w:sz w:val="22"/>
                <w:szCs w:val="22"/>
              </w:rPr>
              <w:t>C</w:t>
            </w:r>
            <w:r w:rsidRPr="000D2BB6">
              <w:rPr>
                <w:rFonts w:eastAsiaTheme="minorEastAsia"/>
                <w:b/>
                <w:i/>
                <w:kern w:val="2"/>
                <w:sz w:val="22"/>
                <w:szCs w:val="22"/>
              </w:rPr>
              <w:t>onclusion</w:t>
            </w:r>
            <w:r w:rsidRPr="000D2BB6">
              <w:rPr>
                <w:rFonts w:eastAsiaTheme="minorEastAsia"/>
                <w:kern w:val="2"/>
                <w:sz w:val="22"/>
                <w:szCs w:val="22"/>
              </w:rPr>
              <w:t xml:space="preserve">: </w:t>
            </w:r>
          </w:p>
          <w:p w14:paraId="18E9A8D6" w14:textId="77777777" w:rsidR="00394F94" w:rsidRPr="000D2BB6" w:rsidRDefault="00394F94" w:rsidP="00394F94">
            <w:pPr>
              <w:pStyle w:val="ListParagraph"/>
              <w:numPr>
                <w:ilvl w:val="0"/>
                <w:numId w:val="12"/>
              </w:numPr>
              <w:autoSpaceDE/>
              <w:autoSpaceDN/>
              <w:adjustRightInd/>
              <w:snapToGrid/>
              <w:spacing w:beforeLines="50" w:before="120" w:after="0"/>
              <w:contextualSpacing w:val="0"/>
              <w:jc w:val="left"/>
              <w:rPr>
                <w:i/>
                <w:kern w:val="2"/>
                <w:sz w:val="22"/>
                <w:szCs w:val="22"/>
              </w:rPr>
            </w:pPr>
            <w:r w:rsidRPr="000D2BB6">
              <w:rPr>
                <w:i/>
                <w:iCs/>
                <w:kern w:val="2"/>
                <w:sz w:val="22"/>
                <w:szCs w:val="22"/>
              </w:rPr>
              <w:t>Feature groups more helpful for achieving high reliability:  FG 11-1,</w:t>
            </w:r>
            <w:r w:rsidRPr="000D2BB6">
              <w:rPr>
                <w:rFonts w:eastAsiaTheme="minorEastAsia"/>
                <w:i/>
                <w:kern w:val="2"/>
                <w:sz w:val="22"/>
                <w:szCs w:val="22"/>
              </w:rPr>
              <w:t xml:space="preserve"> </w:t>
            </w:r>
            <w:r w:rsidRPr="000D2BB6">
              <w:rPr>
                <w:i/>
                <w:iCs/>
                <w:kern w:val="2"/>
                <w:sz w:val="22"/>
                <w:szCs w:val="22"/>
              </w:rPr>
              <w:t>FG 11-</w:t>
            </w:r>
            <w:r>
              <w:rPr>
                <w:i/>
                <w:iCs/>
                <w:kern w:val="2"/>
                <w:sz w:val="22"/>
                <w:szCs w:val="22"/>
              </w:rPr>
              <w:t>8</w:t>
            </w:r>
            <w:r w:rsidRPr="000D2BB6">
              <w:rPr>
                <w:rFonts w:eastAsiaTheme="minorEastAsia"/>
                <w:i/>
                <w:kern w:val="2"/>
                <w:sz w:val="22"/>
                <w:szCs w:val="22"/>
              </w:rPr>
              <w:t>, FG 11-9</w:t>
            </w:r>
          </w:p>
          <w:p w14:paraId="56FEE605" w14:textId="77777777" w:rsidR="00394F94" w:rsidRPr="000D2BB6" w:rsidRDefault="00394F94" w:rsidP="00394F94">
            <w:pPr>
              <w:pStyle w:val="ListParagraph"/>
              <w:numPr>
                <w:ilvl w:val="0"/>
                <w:numId w:val="12"/>
              </w:numPr>
              <w:autoSpaceDE/>
              <w:autoSpaceDN/>
              <w:adjustRightInd/>
              <w:snapToGrid/>
              <w:spacing w:beforeLines="50" w:before="120" w:after="0"/>
              <w:contextualSpacing w:val="0"/>
              <w:jc w:val="left"/>
              <w:rPr>
                <w:i/>
                <w:kern w:val="2"/>
                <w:sz w:val="22"/>
                <w:szCs w:val="22"/>
              </w:rPr>
            </w:pPr>
            <w:r w:rsidRPr="000D2BB6">
              <w:rPr>
                <w:i/>
                <w:iCs/>
                <w:kern w:val="2"/>
                <w:sz w:val="22"/>
                <w:szCs w:val="22"/>
              </w:rPr>
              <w:lastRenderedPageBreak/>
              <w:t xml:space="preserve">Feature groups more helpful for achieving low latency:  </w:t>
            </w:r>
            <w:r w:rsidRPr="000D2BB6">
              <w:rPr>
                <w:rFonts w:eastAsiaTheme="minorEastAsia"/>
                <w:i/>
                <w:kern w:val="2"/>
                <w:sz w:val="22"/>
                <w:szCs w:val="22"/>
              </w:rPr>
              <w:t xml:space="preserve">FG 11-2, FG 11-3, FG 11-4, </w:t>
            </w:r>
            <w:r w:rsidRPr="000D2BB6">
              <w:rPr>
                <w:i/>
                <w:iCs/>
                <w:kern w:val="2"/>
                <w:sz w:val="22"/>
                <w:szCs w:val="22"/>
              </w:rPr>
              <w:t>FG 11-5</w:t>
            </w:r>
            <w:r w:rsidRPr="000D2BB6">
              <w:rPr>
                <w:rFonts w:eastAsiaTheme="minorEastAsia"/>
                <w:i/>
                <w:kern w:val="2"/>
                <w:sz w:val="22"/>
                <w:szCs w:val="22"/>
              </w:rPr>
              <w:t xml:space="preserve">, </w:t>
            </w:r>
            <w:r w:rsidRPr="000D2BB6">
              <w:rPr>
                <w:i/>
                <w:iCs/>
                <w:kern w:val="2"/>
                <w:sz w:val="22"/>
                <w:szCs w:val="22"/>
              </w:rPr>
              <w:t>FG 11</w:t>
            </w:r>
            <w:r>
              <w:rPr>
                <w:i/>
                <w:iCs/>
                <w:kern w:val="2"/>
                <w:sz w:val="22"/>
                <w:szCs w:val="22"/>
              </w:rPr>
              <w:t>-7</w:t>
            </w:r>
            <w:r w:rsidRPr="000D2BB6">
              <w:rPr>
                <w:rFonts w:eastAsiaTheme="minorEastAsia"/>
                <w:i/>
                <w:kern w:val="2"/>
                <w:sz w:val="22"/>
                <w:szCs w:val="22"/>
              </w:rPr>
              <w:t>,</w:t>
            </w:r>
            <w:r w:rsidRPr="000D2BB6">
              <w:rPr>
                <w:i/>
                <w:iCs/>
                <w:kern w:val="2"/>
                <w:sz w:val="22"/>
                <w:szCs w:val="22"/>
              </w:rPr>
              <w:t xml:space="preserve"> </w:t>
            </w:r>
            <w:r w:rsidRPr="000D2BB6">
              <w:rPr>
                <w:rFonts w:eastAsiaTheme="minorEastAsia"/>
                <w:i/>
                <w:kern w:val="2"/>
                <w:sz w:val="22"/>
                <w:szCs w:val="22"/>
              </w:rPr>
              <w:t>FG 12-1, FG 12-2</w:t>
            </w:r>
          </w:p>
          <w:p w14:paraId="0BCB2436" w14:textId="77777777" w:rsidR="00394F94" w:rsidRPr="000D2BB6" w:rsidRDefault="00394F94" w:rsidP="00394F94">
            <w:pPr>
              <w:pStyle w:val="ListParagraph"/>
              <w:numPr>
                <w:ilvl w:val="1"/>
                <w:numId w:val="12"/>
              </w:numPr>
              <w:autoSpaceDE/>
              <w:autoSpaceDN/>
              <w:adjustRightInd/>
              <w:snapToGrid/>
              <w:spacing w:beforeLines="50" w:before="120" w:after="0"/>
              <w:contextualSpacing w:val="0"/>
              <w:jc w:val="left"/>
              <w:rPr>
                <w:i/>
                <w:kern w:val="2"/>
                <w:sz w:val="22"/>
                <w:szCs w:val="22"/>
              </w:rPr>
            </w:pPr>
            <w:r>
              <w:rPr>
                <w:rFonts w:eastAsiaTheme="minorEastAsia"/>
                <w:i/>
                <w:kern w:val="2"/>
                <w:sz w:val="22"/>
                <w:szCs w:val="22"/>
              </w:rPr>
              <w:t xml:space="preserve">FG 11-4 and FG 12-1 are applied to a UE supporting both </w:t>
            </w:r>
            <w:proofErr w:type="spellStart"/>
            <w:r>
              <w:rPr>
                <w:rFonts w:eastAsiaTheme="minorEastAsia"/>
                <w:i/>
                <w:kern w:val="2"/>
                <w:sz w:val="22"/>
                <w:szCs w:val="22"/>
              </w:rPr>
              <w:t>eMBB</w:t>
            </w:r>
            <w:proofErr w:type="spellEnd"/>
            <w:r>
              <w:rPr>
                <w:rFonts w:eastAsiaTheme="minorEastAsia"/>
                <w:i/>
                <w:kern w:val="2"/>
                <w:sz w:val="22"/>
                <w:szCs w:val="22"/>
              </w:rPr>
              <w:t xml:space="preserve"> and URLLC </w:t>
            </w:r>
          </w:p>
          <w:p w14:paraId="0B38EFA8" w14:textId="77777777" w:rsidR="00394F94" w:rsidRPr="0053753B" w:rsidRDefault="00394F94" w:rsidP="00394F94">
            <w:pPr>
              <w:pStyle w:val="ListParagraph"/>
              <w:numPr>
                <w:ilvl w:val="1"/>
                <w:numId w:val="12"/>
              </w:numPr>
              <w:autoSpaceDE/>
              <w:autoSpaceDN/>
              <w:adjustRightInd/>
              <w:snapToGrid/>
              <w:spacing w:beforeLines="50" w:before="120" w:after="0"/>
              <w:contextualSpacing w:val="0"/>
              <w:jc w:val="left"/>
              <w:rPr>
                <w:i/>
                <w:kern w:val="2"/>
                <w:sz w:val="22"/>
                <w:szCs w:val="22"/>
              </w:rPr>
            </w:pPr>
            <w:bookmarkStart w:id="1" w:name="OLE_LINK14"/>
            <w:r w:rsidRPr="000D2BB6">
              <w:rPr>
                <w:i/>
                <w:iCs/>
                <w:kern w:val="2"/>
                <w:sz w:val="22"/>
                <w:szCs w:val="22"/>
              </w:rPr>
              <w:t xml:space="preserve">FG 11-7 </w:t>
            </w:r>
            <w:r>
              <w:rPr>
                <w:i/>
                <w:iCs/>
                <w:kern w:val="2"/>
                <w:sz w:val="22"/>
                <w:szCs w:val="22"/>
              </w:rPr>
              <w:t>is</w:t>
            </w:r>
            <w:r w:rsidRPr="000D2BB6">
              <w:rPr>
                <w:i/>
                <w:iCs/>
                <w:kern w:val="2"/>
                <w:sz w:val="22"/>
                <w:szCs w:val="22"/>
              </w:rPr>
              <w:t xml:space="preserve"> applied to a UE supporting </w:t>
            </w:r>
            <w:proofErr w:type="spellStart"/>
            <w:r w:rsidRPr="000D2BB6">
              <w:rPr>
                <w:i/>
                <w:iCs/>
                <w:kern w:val="2"/>
                <w:sz w:val="22"/>
                <w:szCs w:val="22"/>
              </w:rPr>
              <w:t>eMBB</w:t>
            </w:r>
            <w:proofErr w:type="spellEnd"/>
            <w:r w:rsidRPr="000D2BB6">
              <w:rPr>
                <w:i/>
                <w:iCs/>
                <w:kern w:val="2"/>
                <w:sz w:val="22"/>
                <w:szCs w:val="22"/>
              </w:rPr>
              <w:t xml:space="preserve">     </w:t>
            </w:r>
            <w:bookmarkEnd w:id="1"/>
          </w:p>
          <w:p w14:paraId="75D75DAE" w14:textId="26B9453C" w:rsidR="00394F94" w:rsidRPr="00394F94" w:rsidRDefault="00394F94" w:rsidP="00394F94">
            <w:pPr>
              <w:spacing w:beforeLines="50" w:before="120"/>
              <w:rPr>
                <w:rFonts w:eastAsiaTheme="minorEastAsia"/>
                <w:kern w:val="2"/>
                <w:sz w:val="21"/>
                <w:szCs w:val="21"/>
              </w:rPr>
            </w:pPr>
            <w:r w:rsidRPr="00046280">
              <w:rPr>
                <w:rFonts w:eastAsiaTheme="minorEastAsia"/>
                <w:kern w:val="2"/>
                <w:sz w:val="21"/>
                <w:szCs w:val="21"/>
              </w:rPr>
              <w:t>Note that the above grouping is based on the main benefit of a feature group, though as expressed above that all feature groups can contribute to low latency and high reliability to some extent.</w:t>
            </w:r>
            <w:r>
              <w:rPr>
                <w:rFonts w:eastAsiaTheme="minorEastAsia"/>
                <w:kern w:val="2"/>
                <w:sz w:val="21"/>
                <w:szCs w:val="21"/>
              </w:rPr>
              <w:t xml:space="preserve"> In addition, here I mainly take the main FGs from the list for simplicity and it is also good for us to only focus on the main FGs at this stage. </w:t>
            </w:r>
          </w:p>
        </w:tc>
      </w:tr>
    </w:tbl>
    <w:p w14:paraId="1EE57977" w14:textId="56159331" w:rsidR="0082511A" w:rsidRPr="0082511A" w:rsidRDefault="0082511A" w:rsidP="0082511A">
      <w:pPr>
        <w:spacing w:beforeLines="50" w:before="120"/>
        <w:rPr>
          <w:iCs/>
          <w:kern w:val="2"/>
          <w:lang w:eastAsia="zh-CN"/>
        </w:rPr>
      </w:pPr>
      <w:r w:rsidRPr="0082511A">
        <w:rPr>
          <w:iCs/>
          <w:kern w:val="2"/>
          <w:lang w:eastAsia="zh-CN"/>
        </w:rPr>
        <w:lastRenderedPageBreak/>
        <w:t>We do</w:t>
      </w:r>
      <w:r>
        <w:rPr>
          <w:iCs/>
          <w:kern w:val="2"/>
          <w:lang w:eastAsia="zh-CN"/>
        </w:rPr>
        <w:t xml:space="preserve"> not</w:t>
      </w:r>
      <w:r w:rsidRPr="0082511A">
        <w:rPr>
          <w:iCs/>
          <w:kern w:val="2"/>
          <w:lang w:eastAsia="zh-CN"/>
        </w:rPr>
        <w:t xml:space="preserve"> think the categorization approach suggested in the proposed Conclusion is </w:t>
      </w:r>
      <w:r>
        <w:rPr>
          <w:iCs/>
          <w:kern w:val="2"/>
          <w:lang w:eastAsia="zh-CN"/>
        </w:rPr>
        <w:t>appropriate</w:t>
      </w:r>
      <w:r w:rsidRPr="0082511A">
        <w:rPr>
          <w:iCs/>
          <w:kern w:val="2"/>
          <w:lang w:eastAsia="zh-CN"/>
        </w:rPr>
        <w:t>. This categorization is primarily subjective and many FGs can be moved back-and-forth between the two categories.</w:t>
      </w:r>
    </w:p>
    <w:p w14:paraId="647183A0" w14:textId="77777777" w:rsidR="0082511A" w:rsidRPr="0082511A" w:rsidRDefault="0082511A" w:rsidP="0082511A">
      <w:pPr>
        <w:spacing w:beforeLines="50" w:before="120"/>
        <w:rPr>
          <w:iCs/>
          <w:kern w:val="2"/>
          <w:lang w:eastAsia="zh-CN"/>
        </w:rPr>
      </w:pPr>
      <w:r w:rsidRPr="0082511A">
        <w:rPr>
          <w:iCs/>
          <w:kern w:val="2"/>
          <w:lang w:eastAsia="zh-CN"/>
        </w:rPr>
        <w:t>As some specific examples:</w:t>
      </w:r>
    </w:p>
    <w:p w14:paraId="71D37035" w14:textId="3DE35635" w:rsidR="0082511A" w:rsidRPr="0082511A" w:rsidRDefault="0082511A" w:rsidP="0082511A">
      <w:pPr>
        <w:pStyle w:val="ListParagraph"/>
        <w:numPr>
          <w:ilvl w:val="0"/>
          <w:numId w:val="13"/>
        </w:numPr>
        <w:autoSpaceDE/>
        <w:autoSpaceDN/>
        <w:adjustRightInd/>
        <w:snapToGrid/>
        <w:spacing w:beforeLines="50" w:before="120" w:after="0"/>
        <w:contextualSpacing w:val="0"/>
        <w:jc w:val="left"/>
        <w:rPr>
          <w:iCs/>
          <w:kern w:val="2"/>
          <w:lang w:eastAsia="zh-CN"/>
        </w:rPr>
      </w:pPr>
      <w:r w:rsidRPr="0082511A">
        <w:rPr>
          <w:iCs/>
          <w:kern w:val="2"/>
          <w:lang w:eastAsia="zh-CN"/>
        </w:rPr>
        <w:t xml:space="preserve">FG </w:t>
      </w:r>
      <w:r w:rsidR="009C05B9">
        <w:rPr>
          <w:iCs/>
          <w:kern w:val="2"/>
          <w:lang w:eastAsia="zh-CN"/>
        </w:rPr>
        <w:t>#</w:t>
      </w:r>
      <w:r w:rsidRPr="0082511A">
        <w:rPr>
          <w:iCs/>
          <w:kern w:val="2"/>
          <w:lang w:eastAsia="zh-CN"/>
        </w:rPr>
        <w:t xml:space="preserve">11-4 (support of multiple HARQ-Ack CBs) was at least in part motivated to allow for achieving tighter reliability requirements and thus, enable smaller HARQ-ACK CB that can be separated from larger HARQ-ACK CB that may be needed for feedback corresponding to multiple DL cells for </w:t>
      </w:r>
      <w:proofErr w:type="spellStart"/>
      <w:r w:rsidRPr="0082511A">
        <w:rPr>
          <w:iCs/>
          <w:kern w:val="2"/>
          <w:lang w:eastAsia="zh-CN"/>
        </w:rPr>
        <w:t>eMBB</w:t>
      </w:r>
      <w:proofErr w:type="spellEnd"/>
      <w:r w:rsidRPr="0082511A">
        <w:rPr>
          <w:iCs/>
          <w:kern w:val="2"/>
          <w:lang w:eastAsia="zh-CN"/>
        </w:rPr>
        <w:t xml:space="preserve"> traffic, etc.</w:t>
      </w:r>
    </w:p>
    <w:p w14:paraId="57848E59" w14:textId="556F0199" w:rsidR="0082511A" w:rsidRPr="0082511A" w:rsidRDefault="0082511A" w:rsidP="0082511A">
      <w:pPr>
        <w:pStyle w:val="ListParagraph"/>
        <w:numPr>
          <w:ilvl w:val="0"/>
          <w:numId w:val="13"/>
        </w:numPr>
        <w:autoSpaceDE/>
        <w:autoSpaceDN/>
        <w:adjustRightInd/>
        <w:snapToGrid/>
        <w:spacing w:beforeLines="50" w:before="120" w:after="0"/>
        <w:contextualSpacing w:val="0"/>
        <w:jc w:val="left"/>
        <w:rPr>
          <w:iCs/>
          <w:kern w:val="2"/>
          <w:lang w:eastAsia="zh-CN"/>
        </w:rPr>
      </w:pPr>
      <w:r w:rsidRPr="0082511A">
        <w:rPr>
          <w:iCs/>
          <w:kern w:val="2"/>
          <w:lang w:eastAsia="zh-CN"/>
        </w:rPr>
        <w:t xml:space="preserve">FG </w:t>
      </w:r>
      <w:r w:rsidR="009C05B9">
        <w:rPr>
          <w:iCs/>
          <w:kern w:val="2"/>
          <w:lang w:eastAsia="zh-CN"/>
        </w:rPr>
        <w:t>#</w:t>
      </w:r>
      <w:r w:rsidRPr="0082511A">
        <w:rPr>
          <w:iCs/>
          <w:kern w:val="2"/>
          <w:lang w:eastAsia="zh-CN"/>
        </w:rPr>
        <w:t xml:space="preserve">11-7 also helps with achieving high reliability, in the same way FG 11-8 can help with high reliability (cancelation of lower priority Tx being equivalent to boosting of higher priority Tx in terms of achieving certain reliability targets). Similarly, both can be interpreted to help with low latency. </w:t>
      </w:r>
    </w:p>
    <w:p w14:paraId="1355D828" w14:textId="1E9D3C53" w:rsidR="0082511A" w:rsidRPr="0082511A" w:rsidRDefault="0082511A" w:rsidP="0082511A">
      <w:pPr>
        <w:pStyle w:val="ListParagraph"/>
        <w:numPr>
          <w:ilvl w:val="0"/>
          <w:numId w:val="13"/>
        </w:numPr>
        <w:autoSpaceDE/>
        <w:autoSpaceDN/>
        <w:adjustRightInd/>
        <w:snapToGrid/>
        <w:spacing w:beforeLines="50" w:before="120" w:after="0"/>
        <w:contextualSpacing w:val="0"/>
        <w:jc w:val="left"/>
        <w:rPr>
          <w:iCs/>
          <w:kern w:val="2"/>
          <w:lang w:eastAsia="zh-CN"/>
        </w:rPr>
      </w:pPr>
      <w:r w:rsidRPr="0082511A">
        <w:rPr>
          <w:iCs/>
          <w:kern w:val="2"/>
          <w:lang w:eastAsia="zh-CN"/>
        </w:rPr>
        <w:t xml:space="preserve">FG </w:t>
      </w:r>
      <w:r w:rsidR="009C05B9">
        <w:rPr>
          <w:iCs/>
          <w:kern w:val="2"/>
          <w:lang w:eastAsia="zh-CN"/>
        </w:rPr>
        <w:t>#</w:t>
      </w:r>
      <w:r w:rsidRPr="0082511A">
        <w:rPr>
          <w:iCs/>
          <w:kern w:val="2"/>
          <w:lang w:eastAsia="zh-CN"/>
        </w:rPr>
        <w:t>11-9 and its relevance to both high reliability and low latency targets have been discussed since the beginning of the SI.</w:t>
      </w:r>
    </w:p>
    <w:p w14:paraId="31550098" w14:textId="19C54D0A" w:rsidR="00394F94" w:rsidRDefault="0082511A" w:rsidP="0082511A">
      <w:pPr>
        <w:spacing w:beforeLines="50" w:before="120"/>
        <w:rPr>
          <w:iCs/>
          <w:kern w:val="2"/>
          <w:lang w:eastAsia="zh-CN"/>
        </w:rPr>
      </w:pPr>
      <w:r w:rsidRPr="0082511A">
        <w:rPr>
          <w:iCs/>
          <w:kern w:val="2"/>
          <w:lang w:eastAsia="zh-CN"/>
        </w:rPr>
        <w:t xml:space="preserve">Numerous such </w:t>
      </w:r>
      <w:proofErr w:type="gramStart"/>
      <w:r w:rsidR="009C05B9">
        <w:rPr>
          <w:iCs/>
          <w:kern w:val="2"/>
          <w:lang w:eastAsia="zh-CN"/>
        </w:rPr>
        <w:t>counter-</w:t>
      </w:r>
      <w:r w:rsidRPr="0082511A">
        <w:rPr>
          <w:iCs/>
          <w:kern w:val="2"/>
          <w:lang w:eastAsia="zh-CN"/>
        </w:rPr>
        <w:t>examples</w:t>
      </w:r>
      <w:proofErr w:type="gramEnd"/>
      <w:r w:rsidRPr="0082511A">
        <w:rPr>
          <w:iCs/>
          <w:kern w:val="2"/>
          <w:lang w:eastAsia="zh-CN"/>
        </w:rPr>
        <w:t xml:space="preserve"> can be pointed out. We acknowledge the note added following the proposed Conclusion, but it would be challenging to select a set of FGs in an objective manner for this purpose. Unfortunately, the current classification runs the danger of causing more confusion than helpful guidance to the industry at larg</w:t>
      </w:r>
      <w:r w:rsidR="00615740">
        <w:rPr>
          <w:iCs/>
          <w:kern w:val="2"/>
          <w:lang w:eastAsia="zh-CN"/>
        </w:rPr>
        <w:t>e.</w:t>
      </w:r>
    </w:p>
    <w:p w14:paraId="41293F11" w14:textId="085BD080" w:rsidR="00615740" w:rsidRPr="00666D08" w:rsidRDefault="00615740" w:rsidP="0082511A">
      <w:pPr>
        <w:spacing w:beforeLines="50" w:before="120"/>
        <w:rPr>
          <w:rFonts w:eastAsiaTheme="minorEastAsia"/>
          <w:b/>
          <w:bCs/>
          <w:iCs/>
          <w:kern w:val="2"/>
          <w:sz w:val="21"/>
          <w:szCs w:val="21"/>
          <w:lang w:eastAsia="zh-CN"/>
        </w:rPr>
      </w:pPr>
      <w:bookmarkStart w:id="2" w:name="_GoBack"/>
      <w:r w:rsidRPr="00666D08">
        <w:rPr>
          <w:b/>
          <w:bCs/>
          <w:iCs/>
          <w:kern w:val="2"/>
          <w:lang w:eastAsia="zh-CN"/>
        </w:rPr>
        <w:t xml:space="preserve">In conclusion, we should follow Rel-15 approach for defining RAN1 feature sets for </w:t>
      </w:r>
      <w:proofErr w:type="spellStart"/>
      <w:r w:rsidRPr="00666D08">
        <w:rPr>
          <w:b/>
          <w:bCs/>
          <w:iCs/>
          <w:kern w:val="2"/>
          <w:lang w:eastAsia="zh-CN"/>
        </w:rPr>
        <w:t>eURLLC</w:t>
      </w:r>
      <w:proofErr w:type="spellEnd"/>
      <w:r w:rsidRPr="00666D08">
        <w:rPr>
          <w:b/>
          <w:bCs/>
          <w:iCs/>
          <w:kern w:val="2"/>
          <w:lang w:eastAsia="zh-CN"/>
        </w:rPr>
        <w:t xml:space="preserve"> and </w:t>
      </w:r>
      <w:proofErr w:type="spellStart"/>
      <w:r w:rsidRPr="00666D08">
        <w:rPr>
          <w:b/>
          <w:bCs/>
          <w:iCs/>
          <w:kern w:val="2"/>
          <w:lang w:eastAsia="zh-CN"/>
        </w:rPr>
        <w:t>IIoT</w:t>
      </w:r>
      <w:proofErr w:type="spellEnd"/>
      <w:r w:rsidRPr="00666D08">
        <w:rPr>
          <w:b/>
          <w:bCs/>
          <w:iCs/>
          <w:kern w:val="2"/>
          <w:lang w:eastAsia="zh-CN"/>
        </w:rPr>
        <w:t xml:space="preserve"> without defining any basic feature set for these features. </w:t>
      </w:r>
    </w:p>
    <w:bookmarkEnd w:id="2"/>
    <w:p w14:paraId="6A7F08CD" w14:textId="200688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5E69C07C" w14:textId="6316CA10" w:rsidR="00FF7226" w:rsidRPr="009356FC" w:rsidRDefault="00DD70AC" w:rsidP="00833E4E">
      <w:pPr>
        <w:pStyle w:val="3GPPNormalText"/>
        <w:rPr>
          <w:i/>
          <w:lang w:eastAsia="zh-CN"/>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w:t>
      </w:r>
      <w:r w:rsidR="00833E4E">
        <w:rPr>
          <w:rFonts w:eastAsia="Malgun Gothic"/>
          <w:lang w:eastAsia="ko-KR"/>
        </w:rPr>
        <w:t xml:space="preserve">our views on defining RAN1 UE features for Rel-16 </w:t>
      </w:r>
      <w:proofErr w:type="spellStart"/>
      <w:r w:rsidR="00833E4E">
        <w:rPr>
          <w:rFonts w:eastAsia="Malgun Gothic"/>
          <w:lang w:eastAsia="ko-KR"/>
        </w:rPr>
        <w:t>eURLLC</w:t>
      </w:r>
      <w:proofErr w:type="spellEnd"/>
      <w:r w:rsidR="00833E4E">
        <w:rPr>
          <w:rFonts w:eastAsia="Malgun Gothic"/>
          <w:lang w:eastAsia="ko-KR"/>
        </w:rPr>
        <w:t xml:space="preserve"> and </w:t>
      </w:r>
      <w:proofErr w:type="spellStart"/>
      <w:r w:rsidR="00833E4E">
        <w:rPr>
          <w:rFonts w:eastAsia="Malgun Gothic"/>
          <w:lang w:eastAsia="ko-KR"/>
        </w:rPr>
        <w:t>IIoT</w:t>
      </w:r>
      <w:proofErr w:type="spellEnd"/>
      <w:r w:rsidR="00833E4E">
        <w:rPr>
          <w:rFonts w:eastAsia="Malgun Gothic"/>
          <w:lang w:eastAsia="ko-KR"/>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bookmarkStart w:id="3" w:name="_Ref7850160"/>
      <w:bookmarkStart w:id="4" w:name="_Ref7850250"/>
      <w:bookmarkEnd w:id="3"/>
      <w:bookmarkEnd w:id="4"/>
      <w:r w:rsidRPr="007C1391">
        <w:rPr>
          <w:rFonts w:ascii="Arial" w:hAnsi="Arial"/>
          <w:b w:val="0"/>
          <w:bCs w:val="0"/>
          <w:sz w:val="36"/>
          <w:szCs w:val="20"/>
        </w:rPr>
        <w:t>References</w:t>
      </w:r>
    </w:p>
    <w:p w14:paraId="63429241" w14:textId="7BBE45DF" w:rsidR="00CF2A29" w:rsidRPr="00CF2A29" w:rsidRDefault="00E84194" w:rsidP="00F445B8">
      <w:pPr>
        <w:widowControl w:val="0"/>
        <w:numPr>
          <w:ilvl w:val="0"/>
          <w:numId w:val="7"/>
        </w:numPr>
        <w:overflowPunct w:val="0"/>
        <w:snapToGrid/>
      </w:pPr>
      <w:bookmarkStart w:id="5" w:name="_Ref37444248"/>
      <w:r w:rsidRPr="00E84194">
        <w:t>R1-2001484</w:t>
      </w:r>
      <w:r w:rsidR="00785D38">
        <w:t>, “</w:t>
      </w:r>
      <w:r w:rsidR="00DA4226" w:rsidRPr="00DA4226">
        <w:t>RAN1 UE features list for Rel-16 NR after RAN1#100-E</w:t>
      </w:r>
      <w:r w:rsidR="00386C31">
        <w:t>,</w:t>
      </w:r>
      <w:r w:rsidR="00785D38">
        <w:t xml:space="preserve">” </w:t>
      </w:r>
      <w:r w:rsidR="00A33FDF" w:rsidRPr="00A33FDF">
        <w:t>AT&amp;T, NTT DOCOMO</w:t>
      </w:r>
      <w:r w:rsidR="00785D38">
        <w:t>, RAN1 #100-E</w:t>
      </w:r>
      <w:r w:rsidR="00386C31">
        <w:t>, February 2020.</w:t>
      </w:r>
      <w:bookmarkEnd w:id="5"/>
    </w:p>
    <w:sectPr w:rsidR="00CF2A29" w:rsidRPr="00CF2A2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65ACB" w14:textId="77777777" w:rsidR="008B6BA6" w:rsidRDefault="008B6BA6" w:rsidP="004C0876">
      <w:pPr>
        <w:spacing w:after="0"/>
      </w:pPr>
      <w:r>
        <w:separator/>
      </w:r>
    </w:p>
  </w:endnote>
  <w:endnote w:type="continuationSeparator" w:id="0">
    <w:p w14:paraId="36E6D87F" w14:textId="77777777" w:rsidR="008B6BA6" w:rsidRDefault="008B6BA6"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7700897"/>
      <w:docPartObj>
        <w:docPartGallery w:val="Page Numbers (Bottom of Page)"/>
        <w:docPartUnique/>
      </w:docPartObj>
    </w:sdtPr>
    <w:sdtEndPr>
      <w:rPr>
        <w:noProof/>
      </w:rPr>
    </w:sdtEndPr>
    <w:sdtContent>
      <w:p w14:paraId="7F52B66D" w14:textId="1F592CE6" w:rsidR="00611C64" w:rsidRDefault="00611C64">
        <w:pPr>
          <w:pStyle w:val="Footer"/>
          <w:jc w:val="center"/>
        </w:pPr>
        <w:r>
          <w:fldChar w:fldCharType="begin"/>
        </w:r>
        <w:r>
          <w:instrText xml:space="preserve"> PAGE   \* MERGEFORMAT </w:instrText>
        </w:r>
        <w:r>
          <w:fldChar w:fldCharType="separate"/>
        </w:r>
        <w:r w:rsidR="00C56AAB">
          <w:rPr>
            <w:noProof/>
          </w:rPr>
          <w:t>8</w:t>
        </w:r>
        <w:r>
          <w:rPr>
            <w:noProof/>
          </w:rPr>
          <w:fldChar w:fldCharType="end"/>
        </w:r>
      </w:p>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9BD2F" w14:textId="77777777" w:rsidR="008B6BA6" w:rsidRDefault="008B6BA6" w:rsidP="004C0876">
      <w:pPr>
        <w:spacing w:after="0"/>
      </w:pPr>
      <w:r>
        <w:separator/>
      </w:r>
    </w:p>
  </w:footnote>
  <w:footnote w:type="continuationSeparator" w:id="0">
    <w:p w14:paraId="134792C7" w14:textId="77777777" w:rsidR="008B6BA6" w:rsidRDefault="008B6BA6"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B2FAF"/>
    <w:multiLevelType w:val="hybridMultilevel"/>
    <w:tmpl w:val="78C0E478"/>
    <w:lvl w:ilvl="0" w:tplc="B30C5F9C">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5B59D5"/>
    <w:multiLevelType w:val="hybridMultilevel"/>
    <w:tmpl w:val="36CC8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F36688"/>
    <w:multiLevelType w:val="hybridMultilevel"/>
    <w:tmpl w:val="E98C2F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3"/>
  </w:num>
  <w:num w:numId="2">
    <w:abstractNumId w:val="4"/>
  </w:num>
  <w:num w:numId="3">
    <w:abstractNumId w:val="10"/>
  </w:num>
  <w:num w:numId="4">
    <w:abstractNumId w:val="11"/>
  </w:num>
  <w:num w:numId="5">
    <w:abstractNumId w:val="1"/>
  </w:num>
  <w:num w:numId="6">
    <w:abstractNumId w:val="9"/>
  </w:num>
  <w:num w:numId="7">
    <w:abstractNumId w:val="12"/>
  </w:num>
  <w:num w:numId="8">
    <w:abstractNumId w:val="2"/>
  </w:num>
  <w:num w:numId="9">
    <w:abstractNumId w:val="7"/>
  </w:num>
  <w:num w:numId="10">
    <w:abstractNumId w:val="8"/>
  </w:num>
  <w:num w:numId="11">
    <w:abstractNumId w:val="6"/>
    <w:lvlOverride w:ilvl="0"/>
    <w:lvlOverride w:ilvl="1"/>
    <w:lvlOverride w:ilvl="2"/>
    <w:lvlOverride w:ilvl="3"/>
    <w:lvlOverride w:ilvl="4"/>
    <w:lvlOverride w:ilvl="5"/>
    <w:lvlOverride w:ilvl="6"/>
    <w:lvlOverride w:ilvl="7"/>
    <w:lvlOverride w:ilvl="8"/>
  </w:num>
  <w:num w:numId="12">
    <w:abstractNumId w:val="5"/>
  </w:num>
  <w:num w:numId="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107BE"/>
    <w:rsid w:val="000123AD"/>
    <w:rsid w:val="000126B2"/>
    <w:rsid w:val="00012884"/>
    <w:rsid w:val="0001344B"/>
    <w:rsid w:val="000140A3"/>
    <w:rsid w:val="00016127"/>
    <w:rsid w:val="000161B0"/>
    <w:rsid w:val="00026966"/>
    <w:rsid w:val="00031D16"/>
    <w:rsid w:val="00031EE5"/>
    <w:rsid w:val="000336F4"/>
    <w:rsid w:val="000368EC"/>
    <w:rsid w:val="0005089C"/>
    <w:rsid w:val="00056843"/>
    <w:rsid w:val="00057A3B"/>
    <w:rsid w:val="00060BC7"/>
    <w:rsid w:val="00066263"/>
    <w:rsid w:val="00066338"/>
    <w:rsid w:val="00070CD1"/>
    <w:rsid w:val="0007221F"/>
    <w:rsid w:val="00074ADB"/>
    <w:rsid w:val="0008537E"/>
    <w:rsid w:val="00093F5B"/>
    <w:rsid w:val="00095033"/>
    <w:rsid w:val="000969AE"/>
    <w:rsid w:val="000A03F9"/>
    <w:rsid w:val="000A2F7F"/>
    <w:rsid w:val="000A2FE7"/>
    <w:rsid w:val="000A34D3"/>
    <w:rsid w:val="000A7E44"/>
    <w:rsid w:val="000B01A0"/>
    <w:rsid w:val="000C17DD"/>
    <w:rsid w:val="000C45B5"/>
    <w:rsid w:val="000C71C2"/>
    <w:rsid w:val="000D0C2C"/>
    <w:rsid w:val="000D261B"/>
    <w:rsid w:val="000D3E51"/>
    <w:rsid w:val="000D504F"/>
    <w:rsid w:val="000D56C4"/>
    <w:rsid w:val="000D6144"/>
    <w:rsid w:val="000E3AFE"/>
    <w:rsid w:val="000E453D"/>
    <w:rsid w:val="000E539A"/>
    <w:rsid w:val="000E5F47"/>
    <w:rsid w:val="000E7322"/>
    <w:rsid w:val="000F5C68"/>
    <w:rsid w:val="000F6703"/>
    <w:rsid w:val="0010108F"/>
    <w:rsid w:val="00101523"/>
    <w:rsid w:val="00104598"/>
    <w:rsid w:val="00107B7C"/>
    <w:rsid w:val="0011528F"/>
    <w:rsid w:val="00117014"/>
    <w:rsid w:val="00117834"/>
    <w:rsid w:val="001179B7"/>
    <w:rsid w:val="00122885"/>
    <w:rsid w:val="00122E13"/>
    <w:rsid w:val="00124713"/>
    <w:rsid w:val="0013016F"/>
    <w:rsid w:val="00131566"/>
    <w:rsid w:val="00132CEA"/>
    <w:rsid w:val="001341DE"/>
    <w:rsid w:val="00136B68"/>
    <w:rsid w:val="0014156D"/>
    <w:rsid w:val="00143AA5"/>
    <w:rsid w:val="00152DB1"/>
    <w:rsid w:val="001539A0"/>
    <w:rsid w:val="00154219"/>
    <w:rsid w:val="001567AA"/>
    <w:rsid w:val="00165495"/>
    <w:rsid w:val="00166E1E"/>
    <w:rsid w:val="00167110"/>
    <w:rsid w:val="001719B6"/>
    <w:rsid w:val="00176BA2"/>
    <w:rsid w:val="00183D53"/>
    <w:rsid w:val="00183D99"/>
    <w:rsid w:val="00185C61"/>
    <w:rsid w:val="00186C7F"/>
    <w:rsid w:val="00186F19"/>
    <w:rsid w:val="00192AFC"/>
    <w:rsid w:val="00193D4C"/>
    <w:rsid w:val="001A2F6C"/>
    <w:rsid w:val="001A52DB"/>
    <w:rsid w:val="001A584E"/>
    <w:rsid w:val="001A7CD0"/>
    <w:rsid w:val="001B0A55"/>
    <w:rsid w:val="001B117D"/>
    <w:rsid w:val="001C0C19"/>
    <w:rsid w:val="001C2991"/>
    <w:rsid w:val="001D08D5"/>
    <w:rsid w:val="001D0D21"/>
    <w:rsid w:val="001D4654"/>
    <w:rsid w:val="001D635D"/>
    <w:rsid w:val="001D77CC"/>
    <w:rsid w:val="001E06A4"/>
    <w:rsid w:val="001E08B1"/>
    <w:rsid w:val="001E3135"/>
    <w:rsid w:val="001E5720"/>
    <w:rsid w:val="001E7B74"/>
    <w:rsid w:val="001F3D96"/>
    <w:rsid w:val="001F46C4"/>
    <w:rsid w:val="001F51E5"/>
    <w:rsid w:val="001F64A9"/>
    <w:rsid w:val="001F7087"/>
    <w:rsid w:val="00200F8F"/>
    <w:rsid w:val="002018B8"/>
    <w:rsid w:val="00202B61"/>
    <w:rsid w:val="00205E91"/>
    <w:rsid w:val="0020747E"/>
    <w:rsid w:val="00211B66"/>
    <w:rsid w:val="00211D62"/>
    <w:rsid w:val="00217B5F"/>
    <w:rsid w:val="002212B8"/>
    <w:rsid w:val="002234A7"/>
    <w:rsid w:val="002237E6"/>
    <w:rsid w:val="00224209"/>
    <w:rsid w:val="0023365D"/>
    <w:rsid w:val="002336C0"/>
    <w:rsid w:val="0023471F"/>
    <w:rsid w:val="002347E5"/>
    <w:rsid w:val="00234EB8"/>
    <w:rsid w:val="00240004"/>
    <w:rsid w:val="00240779"/>
    <w:rsid w:val="00240A24"/>
    <w:rsid w:val="00241CB7"/>
    <w:rsid w:val="002470AB"/>
    <w:rsid w:val="002518AC"/>
    <w:rsid w:val="002555EA"/>
    <w:rsid w:val="002570CB"/>
    <w:rsid w:val="002579A4"/>
    <w:rsid w:val="002605A8"/>
    <w:rsid w:val="002618BF"/>
    <w:rsid w:val="0026234E"/>
    <w:rsid w:val="00273359"/>
    <w:rsid w:val="00274972"/>
    <w:rsid w:val="002815BC"/>
    <w:rsid w:val="00283CE6"/>
    <w:rsid w:val="00284D0A"/>
    <w:rsid w:val="00285D81"/>
    <w:rsid w:val="0029354F"/>
    <w:rsid w:val="002940DE"/>
    <w:rsid w:val="002941D2"/>
    <w:rsid w:val="00294EC7"/>
    <w:rsid w:val="00295114"/>
    <w:rsid w:val="00295687"/>
    <w:rsid w:val="00295E1C"/>
    <w:rsid w:val="002A288F"/>
    <w:rsid w:val="002A4D2B"/>
    <w:rsid w:val="002A5D6A"/>
    <w:rsid w:val="002A6E15"/>
    <w:rsid w:val="002B254D"/>
    <w:rsid w:val="002B5711"/>
    <w:rsid w:val="002B5780"/>
    <w:rsid w:val="002B6308"/>
    <w:rsid w:val="002B647B"/>
    <w:rsid w:val="002C0FF0"/>
    <w:rsid w:val="002C3BEF"/>
    <w:rsid w:val="002C5B81"/>
    <w:rsid w:val="002C77D0"/>
    <w:rsid w:val="002D0444"/>
    <w:rsid w:val="002D1F61"/>
    <w:rsid w:val="002D39F9"/>
    <w:rsid w:val="002D6854"/>
    <w:rsid w:val="002E1C44"/>
    <w:rsid w:val="002E5D04"/>
    <w:rsid w:val="002E5F18"/>
    <w:rsid w:val="002E6D80"/>
    <w:rsid w:val="002F0669"/>
    <w:rsid w:val="002F17FA"/>
    <w:rsid w:val="002F3829"/>
    <w:rsid w:val="002F72EF"/>
    <w:rsid w:val="00302709"/>
    <w:rsid w:val="0030379C"/>
    <w:rsid w:val="003039E9"/>
    <w:rsid w:val="00306524"/>
    <w:rsid w:val="0031191B"/>
    <w:rsid w:val="003138D8"/>
    <w:rsid w:val="00315D8B"/>
    <w:rsid w:val="003161AB"/>
    <w:rsid w:val="00317C62"/>
    <w:rsid w:val="00324F04"/>
    <w:rsid w:val="00325D35"/>
    <w:rsid w:val="00326529"/>
    <w:rsid w:val="00327E8D"/>
    <w:rsid w:val="00332DAB"/>
    <w:rsid w:val="003401B2"/>
    <w:rsid w:val="00341D78"/>
    <w:rsid w:val="00343084"/>
    <w:rsid w:val="00344AB1"/>
    <w:rsid w:val="00351238"/>
    <w:rsid w:val="00351B20"/>
    <w:rsid w:val="003527B3"/>
    <w:rsid w:val="003557D5"/>
    <w:rsid w:val="00357949"/>
    <w:rsid w:val="00360291"/>
    <w:rsid w:val="00360AC9"/>
    <w:rsid w:val="00360D81"/>
    <w:rsid w:val="00361449"/>
    <w:rsid w:val="003617AC"/>
    <w:rsid w:val="003625D3"/>
    <w:rsid w:val="00363631"/>
    <w:rsid w:val="003636FA"/>
    <w:rsid w:val="00365284"/>
    <w:rsid w:val="003714E6"/>
    <w:rsid w:val="00371CD2"/>
    <w:rsid w:val="00373064"/>
    <w:rsid w:val="00380B12"/>
    <w:rsid w:val="00382306"/>
    <w:rsid w:val="00384478"/>
    <w:rsid w:val="00386C31"/>
    <w:rsid w:val="00386E2D"/>
    <w:rsid w:val="0039171C"/>
    <w:rsid w:val="00394F94"/>
    <w:rsid w:val="00395618"/>
    <w:rsid w:val="003A558F"/>
    <w:rsid w:val="003B4A93"/>
    <w:rsid w:val="003B789C"/>
    <w:rsid w:val="003C0107"/>
    <w:rsid w:val="003C3888"/>
    <w:rsid w:val="003C3F44"/>
    <w:rsid w:val="003C64C0"/>
    <w:rsid w:val="003C7404"/>
    <w:rsid w:val="003D1F41"/>
    <w:rsid w:val="003D5061"/>
    <w:rsid w:val="003D6804"/>
    <w:rsid w:val="003D70B8"/>
    <w:rsid w:val="003E64FE"/>
    <w:rsid w:val="003F342A"/>
    <w:rsid w:val="003F3E90"/>
    <w:rsid w:val="003F4458"/>
    <w:rsid w:val="003F6055"/>
    <w:rsid w:val="00400F3F"/>
    <w:rsid w:val="004033AC"/>
    <w:rsid w:val="00403808"/>
    <w:rsid w:val="00403F4B"/>
    <w:rsid w:val="00405B58"/>
    <w:rsid w:val="00411A32"/>
    <w:rsid w:val="0041504E"/>
    <w:rsid w:val="00420B27"/>
    <w:rsid w:val="00421B53"/>
    <w:rsid w:val="00422213"/>
    <w:rsid w:val="004225F4"/>
    <w:rsid w:val="00424309"/>
    <w:rsid w:val="0042583C"/>
    <w:rsid w:val="00425AF1"/>
    <w:rsid w:val="00426B9F"/>
    <w:rsid w:val="004275AA"/>
    <w:rsid w:val="00431409"/>
    <w:rsid w:val="004316B6"/>
    <w:rsid w:val="00432742"/>
    <w:rsid w:val="00446A9A"/>
    <w:rsid w:val="004539CF"/>
    <w:rsid w:val="00453AE2"/>
    <w:rsid w:val="004540FD"/>
    <w:rsid w:val="00455A38"/>
    <w:rsid w:val="00456445"/>
    <w:rsid w:val="00457B09"/>
    <w:rsid w:val="00463F3F"/>
    <w:rsid w:val="00467639"/>
    <w:rsid w:val="0047289B"/>
    <w:rsid w:val="00472A5C"/>
    <w:rsid w:val="00473358"/>
    <w:rsid w:val="00474429"/>
    <w:rsid w:val="00477429"/>
    <w:rsid w:val="004776C6"/>
    <w:rsid w:val="00480DE2"/>
    <w:rsid w:val="00481CA9"/>
    <w:rsid w:val="0048233C"/>
    <w:rsid w:val="004829D5"/>
    <w:rsid w:val="00483DE4"/>
    <w:rsid w:val="0048613C"/>
    <w:rsid w:val="00486F84"/>
    <w:rsid w:val="004872BB"/>
    <w:rsid w:val="0049086E"/>
    <w:rsid w:val="00491BE1"/>
    <w:rsid w:val="00491ECD"/>
    <w:rsid w:val="004A29B4"/>
    <w:rsid w:val="004A3353"/>
    <w:rsid w:val="004A66C5"/>
    <w:rsid w:val="004A698C"/>
    <w:rsid w:val="004B1692"/>
    <w:rsid w:val="004B2B34"/>
    <w:rsid w:val="004B31EF"/>
    <w:rsid w:val="004B56FF"/>
    <w:rsid w:val="004B58F6"/>
    <w:rsid w:val="004B6A27"/>
    <w:rsid w:val="004C0876"/>
    <w:rsid w:val="004C373B"/>
    <w:rsid w:val="004D08B1"/>
    <w:rsid w:val="004D26CA"/>
    <w:rsid w:val="004D4B46"/>
    <w:rsid w:val="004E1E40"/>
    <w:rsid w:val="004E25E8"/>
    <w:rsid w:val="004E3E1B"/>
    <w:rsid w:val="004E411E"/>
    <w:rsid w:val="004E67E2"/>
    <w:rsid w:val="004E75BE"/>
    <w:rsid w:val="004E785E"/>
    <w:rsid w:val="004F072F"/>
    <w:rsid w:val="004F23D0"/>
    <w:rsid w:val="005012D8"/>
    <w:rsid w:val="00501757"/>
    <w:rsid w:val="0050245D"/>
    <w:rsid w:val="0050584C"/>
    <w:rsid w:val="00505BA7"/>
    <w:rsid w:val="005069D7"/>
    <w:rsid w:val="005078CF"/>
    <w:rsid w:val="00507C2D"/>
    <w:rsid w:val="00511B87"/>
    <w:rsid w:val="00513D2E"/>
    <w:rsid w:val="0051481E"/>
    <w:rsid w:val="00520EE0"/>
    <w:rsid w:val="00522931"/>
    <w:rsid w:val="00526069"/>
    <w:rsid w:val="00526711"/>
    <w:rsid w:val="005274EA"/>
    <w:rsid w:val="00527DB8"/>
    <w:rsid w:val="00532625"/>
    <w:rsid w:val="005357B3"/>
    <w:rsid w:val="005366F4"/>
    <w:rsid w:val="00536923"/>
    <w:rsid w:val="005432FA"/>
    <w:rsid w:val="00544359"/>
    <w:rsid w:val="00545D32"/>
    <w:rsid w:val="005474C2"/>
    <w:rsid w:val="005479CB"/>
    <w:rsid w:val="0055356A"/>
    <w:rsid w:val="005555AB"/>
    <w:rsid w:val="00556E47"/>
    <w:rsid w:val="00556F18"/>
    <w:rsid w:val="005602D4"/>
    <w:rsid w:val="0056066F"/>
    <w:rsid w:val="005623AD"/>
    <w:rsid w:val="00566E19"/>
    <w:rsid w:val="005676A9"/>
    <w:rsid w:val="00567A07"/>
    <w:rsid w:val="00570C00"/>
    <w:rsid w:val="00575FF3"/>
    <w:rsid w:val="00576317"/>
    <w:rsid w:val="00580364"/>
    <w:rsid w:val="00584507"/>
    <w:rsid w:val="00584645"/>
    <w:rsid w:val="00587799"/>
    <w:rsid w:val="00590AC1"/>
    <w:rsid w:val="0059316E"/>
    <w:rsid w:val="00593743"/>
    <w:rsid w:val="00593F41"/>
    <w:rsid w:val="0059616A"/>
    <w:rsid w:val="00597E69"/>
    <w:rsid w:val="005A2599"/>
    <w:rsid w:val="005A2C11"/>
    <w:rsid w:val="005A4217"/>
    <w:rsid w:val="005A573E"/>
    <w:rsid w:val="005B18BB"/>
    <w:rsid w:val="005B295B"/>
    <w:rsid w:val="005B3671"/>
    <w:rsid w:val="005B3D3B"/>
    <w:rsid w:val="005B56C3"/>
    <w:rsid w:val="005C0AAD"/>
    <w:rsid w:val="005C0AEE"/>
    <w:rsid w:val="005C2450"/>
    <w:rsid w:val="005C3365"/>
    <w:rsid w:val="005C47CE"/>
    <w:rsid w:val="005D6105"/>
    <w:rsid w:val="005D7A0E"/>
    <w:rsid w:val="005E02C3"/>
    <w:rsid w:val="005E150E"/>
    <w:rsid w:val="005E3AFB"/>
    <w:rsid w:val="005E61A6"/>
    <w:rsid w:val="005E6FA9"/>
    <w:rsid w:val="005E75D1"/>
    <w:rsid w:val="005F0A2E"/>
    <w:rsid w:val="005F1597"/>
    <w:rsid w:val="005F402D"/>
    <w:rsid w:val="005F4524"/>
    <w:rsid w:val="005F54E8"/>
    <w:rsid w:val="005F7876"/>
    <w:rsid w:val="00600954"/>
    <w:rsid w:val="0060334F"/>
    <w:rsid w:val="00603F9D"/>
    <w:rsid w:val="00605A1A"/>
    <w:rsid w:val="00606502"/>
    <w:rsid w:val="00610BCA"/>
    <w:rsid w:val="00611C64"/>
    <w:rsid w:val="006126E0"/>
    <w:rsid w:val="00613651"/>
    <w:rsid w:val="00613654"/>
    <w:rsid w:val="00614264"/>
    <w:rsid w:val="00615740"/>
    <w:rsid w:val="00617BFF"/>
    <w:rsid w:val="006208F9"/>
    <w:rsid w:val="00624F23"/>
    <w:rsid w:val="00630509"/>
    <w:rsid w:val="00632337"/>
    <w:rsid w:val="00632787"/>
    <w:rsid w:val="00633093"/>
    <w:rsid w:val="006333BB"/>
    <w:rsid w:val="006354EA"/>
    <w:rsid w:val="00640534"/>
    <w:rsid w:val="00643CBE"/>
    <w:rsid w:val="00650450"/>
    <w:rsid w:val="00650D8F"/>
    <w:rsid w:val="00650DF0"/>
    <w:rsid w:val="00651A80"/>
    <w:rsid w:val="00651F55"/>
    <w:rsid w:val="006523A9"/>
    <w:rsid w:val="00652B69"/>
    <w:rsid w:val="00654504"/>
    <w:rsid w:val="00654E02"/>
    <w:rsid w:val="006614D5"/>
    <w:rsid w:val="00665D26"/>
    <w:rsid w:val="00666723"/>
    <w:rsid w:val="00666AFD"/>
    <w:rsid w:val="00666D08"/>
    <w:rsid w:val="00672097"/>
    <w:rsid w:val="00672262"/>
    <w:rsid w:val="006734A6"/>
    <w:rsid w:val="00675E47"/>
    <w:rsid w:val="00677DCC"/>
    <w:rsid w:val="006808CB"/>
    <w:rsid w:val="00680D79"/>
    <w:rsid w:val="00683172"/>
    <w:rsid w:val="00684CA9"/>
    <w:rsid w:val="00690BFF"/>
    <w:rsid w:val="006911BA"/>
    <w:rsid w:val="00697979"/>
    <w:rsid w:val="006A1C8D"/>
    <w:rsid w:val="006A22AC"/>
    <w:rsid w:val="006A2EE1"/>
    <w:rsid w:val="006A304A"/>
    <w:rsid w:val="006A3CB7"/>
    <w:rsid w:val="006A3CEB"/>
    <w:rsid w:val="006A3F3C"/>
    <w:rsid w:val="006A66B9"/>
    <w:rsid w:val="006A6F69"/>
    <w:rsid w:val="006A7814"/>
    <w:rsid w:val="006B15FA"/>
    <w:rsid w:val="006B4FA5"/>
    <w:rsid w:val="006C1FB7"/>
    <w:rsid w:val="006C58B2"/>
    <w:rsid w:val="006C7448"/>
    <w:rsid w:val="006D0A61"/>
    <w:rsid w:val="006D2697"/>
    <w:rsid w:val="006D2EA1"/>
    <w:rsid w:val="006D4959"/>
    <w:rsid w:val="006D4A0C"/>
    <w:rsid w:val="006D4D28"/>
    <w:rsid w:val="006D704D"/>
    <w:rsid w:val="006E2C95"/>
    <w:rsid w:val="006E4E63"/>
    <w:rsid w:val="006E712F"/>
    <w:rsid w:val="006F3370"/>
    <w:rsid w:val="006F7390"/>
    <w:rsid w:val="006F791F"/>
    <w:rsid w:val="00700C77"/>
    <w:rsid w:val="00701F73"/>
    <w:rsid w:val="00703EE4"/>
    <w:rsid w:val="00704311"/>
    <w:rsid w:val="007051D4"/>
    <w:rsid w:val="00706E06"/>
    <w:rsid w:val="0071344F"/>
    <w:rsid w:val="00714A0C"/>
    <w:rsid w:val="00714C2F"/>
    <w:rsid w:val="0071780F"/>
    <w:rsid w:val="00725060"/>
    <w:rsid w:val="007262AD"/>
    <w:rsid w:val="00726931"/>
    <w:rsid w:val="00731EBF"/>
    <w:rsid w:val="007349D4"/>
    <w:rsid w:val="00736201"/>
    <w:rsid w:val="00737DC3"/>
    <w:rsid w:val="0074121F"/>
    <w:rsid w:val="00741F16"/>
    <w:rsid w:val="00752539"/>
    <w:rsid w:val="007552DE"/>
    <w:rsid w:val="00756B6B"/>
    <w:rsid w:val="00760FDA"/>
    <w:rsid w:val="007616F9"/>
    <w:rsid w:val="00761FCB"/>
    <w:rsid w:val="007639FD"/>
    <w:rsid w:val="00763FE7"/>
    <w:rsid w:val="0076683F"/>
    <w:rsid w:val="00770617"/>
    <w:rsid w:val="00772254"/>
    <w:rsid w:val="007764AA"/>
    <w:rsid w:val="007811DA"/>
    <w:rsid w:val="0078214E"/>
    <w:rsid w:val="007824CD"/>
    <w:rsid w:val="0078253F"/>
    <w:rsid w:val="0078344B"/>
    <w:rsid w:val="007854EB"/>
    <w:rsid w:val="00785D38"/>
    <w:rsid w:val="00790A15"/>
    <w:rsid w:val="00790A84"/>
    <w:rsid w:val="0079253F"/>
    <w:rsid w:val="00792B8B"/>
    <w:rsid w:val="00792E07"/>
    <w:rsid w:val="00793757"/>
    <w:rsid w:val="00794FC1"/>
    <w:rsid w:val="0079551B"/>
    <w:rsid w:val="007965C1"/>
    <w:rsid w:val="007A0246"/>
    <w:rsid w:val="007A3582"/>
    <w:rsid w:val="007B1877"/>
    <w:rsid w:val="007B3AEC"/>
    <w:rsid w:val="007B6946"/>
    <w:rsid w:val="007C1391"/>
    <w:rsid w:val="007C2258"/>
    <w:rsid w:val="007C6921"/>
    <w:rsid w:val="007D0CBD"/>
    <w:rsid w:val="007D0E3C"/>
    <w:rsid w:val="007D2BD8"/>
    <w:rsid w:val="007D312C"/>
    <w:rsid w:val="007D343F"/>
    <w:rsid w:val="007D69DA"/>
    <w:rsid w:val="007E3E7F"/>
    <w:rsid w:val="007E40D0"/>
    <w:rsid w:val="007E592A"/>
    <w:rsid w:val="007E687B"/>
    <w:rsid w:val="007E71E9"/>
    <w:rsid w:val="007F13E0"/>
    <w:rsid w:val="007F3BC5"/>
    <w:rsid w:val="007F43AC"/>
    <w:rsid w:val="007F4F89"/>
    <w:rsid w:val="007F52FB"/>
    <w:rsid w:val="007F5E40"/>
    <w:rsid w:val="00801D1D"/>
    <w:rsid w:val="00802E30"/>
    <w:rsid w:val="008046E1"/>
    <w:rsid w:val="00804D5B"/>
    <w:rsid w:val="00806954"/>
    <w:rsid w:val="008109DF"/>
    <w:rsid w:val="008141CF"/>
    <w:rsid w:val="0082344B"/>
    <w:rsid w:val="0082511A"/>
    <w:rsid w:val="008251DC"/>
    <w:rsid w:val="00825361"/>
    <w:rsid w:val="0083105D"/>
    <w:rsid w:val="00831241"/>
    <w:rsid w:val="00831E70"/>
    <w:rsid w:val="008326D3"/>
    <w:rsid w:val="00833E4E"/>
    <w:rsid w:val="00835346"/>
    <w:rsid w:val="008410E6"/>
    <w:rsid w:val="00841489"/>
    <w:rsid w:val="00841F48"/>
    <w:rsid w:val="008429CE"/>
    <w:rsid w:val="00844668"/>
    <w:rsid w:val="00850974"/>
    <w:rsid w:val="00851DCB"/>
    <w:rsid w:val="00851E37"/>
    <w:rsid w:val="00852F00"/>
    <w:rsid w:val="00854702"/>
    <w:rsid w:val="00857876"/>
    <w:rsid w:val="0086070D"/>
    <w:rsid w:val="00860B72"/>
    <w:rsid w:val="008705FA"/>
    <w:rsid w:val="00874E82"/>
    <w:rsid w:val="00877ADC"/>
    <w:rsid w:val="0088057C"/>
    <w:rsid w:val="00881815"/>
    <w:rsid w:val="00881E9C"/>
    <w:rsid w:val="0088528E"/>
    <w:rsid w:val="0088583E"/>
    <w:rsid w:val="008914EB"/>
    <w:rsid w:val="00893189"/>
    <w:rsid w:val="008974D5"/>
    <w:rsid w:val="008A2A5C"/>
    <w:rsid w:val="008A2A8E"/>
    <w:rsid w:val="008A3641"/>
    <w:rsid w:val="008A3B4B"/>
    <w:rsid w:val="008A63E7"/>
    <w:rsid w:val="008B463A"/>
    <w:rsid w:val="008B5AC8"/>
    <w:rsid w:val="008B5C7E"/>
    <w:rsid w:val="008B5F2F"/>
    <w:rsid w:val="008B6BA6"/>
    <w:rsid w:val="008B71C9"/>
    <w:rsid w:val="008C101A"/>
    <w:rsid w:val="008C73FB"/>
    <w:rsid w:val="008C7502"/>
    <w:rsid w:val="008D24CE"/>
    <w:rsid w:val="008D3137"/>
    <w:rsid w:val="008D56EF"/>
    <w:rsid w:val="008E1A5F"/>
    <w:rsid w:val="008E1BDB"/>
    <w:rsid w:val="008E508E"/>
    <w:rsid w:val="008E55F8"/>
    <w:rsid w:val="008F3EE3"/>
    <w:rsid w:val="008F6324"/>
    <w:rsid w:val="008F7C2D"/>
    <w:rsid w:val="00900207"/>
    <w:rsid w:val="00901114"/>
    <w:rsid w:val="00902FB8"/>
    <w:rsid w:val="00906BFB"/>
    <w:rsid w:val="00906EB9"/>
    <w:rsid w:val="00910617"/>
    <w:rsid w:val="00910C9C"/>
    <w:rsid w:val="00913AE0"/>
    <w:rsid w:val="0092205D"/>
    <w:rsid w:val="0092320C"/>
    <w:rsid w:val="00923FA9"/>
    <w:rsid w:val="009241EA"/>
    <w:rsid w:val="009245F4"/>
    <w:rsid w:val="00927109"/>
    <w:rsid w:val="00931E43"/>
    <w:rsid w:val="0093348D"/>
    <w:rsid w:val="009356FC"/>
    <w:rsid w:val="00936C0C"/>
    <w:rsid w:val="00941EAA"/>
    <w:rsid w:val="00942C6A"/>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82419"/>
    <w:rsid w:val="00984B70"/>
    <w:rsid w:val="00984D9F"/>
    <w:rsid w:val="00985631"/>
    <w:rsid w:val="00985897"/>
    <w:rsid w:val="00986CCA"/>
    <w:rsid w:val="009931B2"/>
    <w:rsid w:val="009A193E"/>
    <w:rsid w:val="009A1A0D"/>
    <w:rsid w:val="009A446A"/>
    <w:rsid w:val="009B5F27"/>
    <w:rsid w:val="009C05B9"/>
    <w:rsid w:val="009C46D9"/>
    <w:rsid w:val="009D0880"/>
    <w:rsid w:val="009D254E"/>
    <w:rsid w:val="009D2DA8"/>
    <w:rsid w:val="009D4FAD"/>
    <w:rsid w:val="009D6852"/>
    <w:rsid w:val="009E0972"/>
    <w:rsid w:val="009E279A"/>
    <w:rsid w:val="009E28C4"/>
    <w:rsid w:val="009E480A"/>
    <w:rsid w:val="009E5833"/>
    <w:rsid w:val="009F1587"/>
    <w:rsid w:val="009F1E44"/>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50D5"/>
    <w:rsid w:val="00A30E24"/>
    <w:rsid w:val="00A316F5"/>
    <w:rsid w:val="00A31D3C"/>
    <w:rsid w:val="00A33FDF"/>
    <w:rsid w:val="00A34053"/>
    <w:rsid w:val="00A35BAA"/>
    <w:rsid w:val="00A368DA"/>
    <w:rsid w:val="00A374F8"/>
    <w:rsid w:val="00A40A21"/>
    <w:rsid w:val="00A4283C"/>
    <w:rsid w:val="00A44D2A"/>
    <w:rsid w:val="00A464B5"/>
    <w:rsid w:val="00A46D6A"/>
    <w:rsid w:val="00A50334"/>
    <w:rsid w:val="00A51393"/>
    <w:rsid w:val="00A55B17"/>
    <w:rsid w:val="00A55E2D"/>
    <w:rsid w:val="00A578EB"/>
    <w:rsid w:val="00A57B64"/>
    <w:rsid w:val="00A57DC2"/>
    <w:rsid w:val="00A57FDB"/>
    <w:rsid w:val="00A6010F"/>
    <w:rsid w:val="00A646E0"/>
    <w:rsid w:val="00A65F87"/>
    <w:rsid w:val="00A73FEC"/>
    <w:rsid w:val="00A740BA"/>
    <w:rsid w:val="00A76CF6"/>
    <w:rsid w:val="00A82979"/>
    <w:rsid w:val="00A85124"/>
    <w:rsid w:val="00A8543F"/>
    <w:rsid w:val="00A92DFD"/>
    <w:rsid w:val="00A93AAA"/>
    <w:rsid w:val="00A95007"/>
    <w:rsid w:val="00A956F8"/>
    <w:rsid w:val="00AA331F"/>
    <w:rsid w:val="00AA60D1"/>
    <w:rsid w:val="00AA7E90"/>
    <w:rsid w:val="00AB274F"/>
    <w:rsid w:val="00AC6800"/>
    <w:rsid w:val="00AD7502"/>
    <w:rsid w:val="00AE0C98"/>
    <w:rsid w:val="00AE1591"/>
    <w:rsid w:val="00AE3EF1"/>
    <w:rsid w:val="00AE4BA4"/>
    <w:rsid w:val="00AE652A"/>
    <w:rsid w:val="00AF01FA"/>
    <w:rsid w:val="00AF554C"/>
    <w:rsid w:val="00AF6859"/>
    <w:rsid w:val="00AF7C9B"/>
    <w:rsid w:val="00B01F61"/>
    <w:rsid w:val="00B03CEE"/>
    <w:rsid w:val="00B07C72"/>
    <w:rsid w:val="00B100F6"/>
    <w:rsid w:val="00B12274"/>
    <w:rsid w:val="00B147C0"/>
    <w:rsid w:val="00B21B02"/>
    <w:rsid w:val="00B23568"/>
    <w:rsid w:val="00B23F9D"/>
    <w:rsid w:val="00B243F6"/>
    <w:rsid w:val="00B26BED"/>
    <w:rsid w:val="00B278FE"/>
    <w:rsid w:val="00B31CF6"/>
    <w:rsid w:val="00B32721"/>
    <w:rsid w:val="00B3341E"/>
    <w:rsid w:val="00B34F11"/>
    <w:rsid w:val="00B37523"/>
    <w:rsid w:val="00B440E2"/>
    <w:rsid w:val="00B52818"/>
    <w:rsid w:val="00B55A26"/>
    <w:rsid w:val="00B55F55"/>
    <w:rsid w:val="00B56C1C"/>
    <w:rsid w:val="00B6306A"/>
    <w:rsid w:val="00B6511C"/>
    <w:rsid w:val="00B65C6E"/>
    <w:rsid w:val="00B671B7"/>
    <w:rsid w:val="00B67585"/>
    <w:rsid w:val="00B74AB8"/>
    <w:rsid w:val="00B75BDC"/>
    <w:rsid w:val="00B75D6C"/>
    <w:rsid w:val="00B77547"/>
    <w:rsid w:val="00B77C2E"/>
    <w:rsid w:val="00B829DE"/>
    <w:rsid w:val="00B82B64"/>
    <w:rsid w:val="00B84D37"/>
    <w:rsid w:val="00B97CD0"/>
    <w:rsid w:val="00BA2203"/>
    <w:rsid w:val="00BA4316"/>
    <w:rsid w:val="00BA6081"/>
    <w:rsid w:val="00BB14F8"/>
    <w:rsid w:val="00BB1999"/>
    <w:rsid w:val="00BB48E7"/>
    <w:rsid w:val="00BB70AA"/>
    <w:rsid w:val="00BC23A1"/>
    <w:rsid w:val="00BC6192"/>
    <w:rsid w:val="00BD0029"/>
    <w:rsid w:val="00BD561F"/>
    <w:rsid w:val="00BE0BA1"/>
    <w:rsid w:val="00BE324C"/>
    <w:rsid w:val="00BE6B90"/>
    <w:rsid w:val="00BF33E1"/>
    <w:rsid w:val="00BF371E"/>
    <w:rsid w:val="00C00E7C"/>
    <w:rsid w:val="00C03316"/>
    <w:rsid w:val="00C04452"/>
    <w:rsid w:val="00C07F72"/>
    <w:rsid w:val="00C11214"/>
    <w:rsid w:val="00C1211C"/>
    <w:rsid w:val="00C13634"/>
    <w:rsid w:val="00C17250"/>
    <w:rsid w:val="00C32C8F"/>
    <w:rsid w:val="00C35760"/>
    <w:rsid w:val="00C357C4"/>
    <w:rsid w:val="00C3779D"/>
    <w:rsid w:val="00C42EA4"/>
    <w:rsid w:val="00C43D45"/>
    <w:rsid w:val="00C476D3"/>
    <w:rsid w:val="00C47A3B"/>
    <w:rsid w:val="00C51451"/>
    <w:rsid w:val="00C517D1"/>
    <w:rsid w:val="00C56AAB"/>
    <w:rsid w:val="00C56B93"/>
    <w:rsid w:val="00C6062B"/>
    <w:rsid w:val="00C61B04"/>
    <w:rsid w:val="00C64B24"/>
    <w:rsid w:val="00C67E04"/>
    <w:rsid w:val="00C7507E"/>
    <w:rsid w:val="00C83712"/>
    <w:rsid w:val="00C8382F"/>
    <w:rsid w:val="00C87B82"/>
    <w:rsid w:val="00C87C23"/>
    <w:rsid w:val="00C92553"/>
    <w:rsid w:val="00C9264C"/>
    <w:rsid w:val="00C93829"/>
    <w:rsid w:val="00C94AE9"/>
    <w:rsid w:val="00C97966"/>
    <w:rsid w:val="00CA4457"/>
    <w:rsid w:val="00CA69E1"/>
    <w:rsid w:val="00CB4D66"/>
    <w:rsid w:val="00CC0CD9"/>
    <w:rsid w:val="00CC22B3"/>
    <w:rsid w:val="00CC3868"/>
    <w:rsid w:val="00CC6227"/>
    <w:rsid w:val="00CC6B84"/>
    <w:rsid w:val="00CD1C15"/>
    <w:rsid w:val="00CD29FA"/>
    <w:rsid w:val="00CD4047"/>
    <w:rsid w:val="00CD4FF5"/>
    <w:rsid w:val="00CD6D68"/>
    <w:rsid w:val="00CD7D72"/>
    <w:rsid w:val="00CE13C2"/>
    <w:rsid w:val="00CE28DB"/>
    <w:rsid w:val="00CE72CF"/>
    <w:rsid w:val="00CE79A1"/>
    <w:rsid w:val="00CF1FDA"/>
    <w:rsid w:val="00CF2A29"/>
    <w:rsid w:val="00CF7A07"/>
    <w:rsid w:val="00D058C8"/>
    <w:rsid w:val="00D11632"/>
    <w:rsid w:val="00D12A46"/>
    <w:rsid w:val="00D136D5"/>
    <w:rsid w:val="00D13C58"/>
    <w:rsid w:val="00D14A9F"/>
    <w:rsid w:val="00D14D54"/>
    <w:rsid w:val="00D150BD"/>
    <w:rsid w:val="00D166BA"/>
    <w:rsid w:val="00D16C95"/>
    <w:rsid w:val="00D2075B"/>
    <w:rsid w:val="00D22430"/>
    <w:rsid w:val="00D3037A"/>
    <w:rsid w:val="00D47524"/>
    <w:rsid w:val="00D55B71"/>
    <w:rsid w:val="00D56072"/>
    <w:rsid w:val="00D56E20"/>
    <w:rsid w:val="00D60A84"/>
    <w:rsid w:val="00D62A7A"/>
    <w:rsid w:val="00D672E2"/>
    <w:rsid w:val="00D67E85"/>
    <w:rsid w:val="00D71100"/>
    <w:rsid w:val="00D72C51"/>
    <w:rsid w:val="00D74F06"/>
    <w:rsid w:val="00D76C28"/>
    <w:rsid w:val="00D77EFB"/>
    <w:rsid w:val="00D813B1"/>
    <w:rsid w:val="00D8176C"/>
    <w:rsid w:val="00D82784"/>
    <w:rsid w:val="00D84B29"/>
    <w:rsid w:val="00D85413"/>
    <w:rsid w:val="00D965FD"/>
    <w:rsid w:val="00D96911"/>
    <w:rsid w:val="00DA153F"/>
    <w:rsid w:val="00DA4226"/>
    <w:rsid w:val="00DB1B5D"/>
    <w:rsid w:val="00DB38CF"/>
    <w:rsid w:val="00DB4496"/>
    <w:rsid w:val="00DB4FC3"/>
    <w:rsid w:val="00DB6C2B"/>
    <w:rsid w:val="00DC0169"/>
    <w:rsid w:val="00DC017C"/>
    <w:rsid w:val="00DC1572"/>
    <w:rsid w:val="00DC3A59"/>
    <w:rsid w:val="00DC5308"/>
    <w:rsid w:val="00DD165B"/>
    <w:rsid w:val="00DD1BD3"/>
    <w:rsid w:val="00DD26F8"/>
    <w:rsid w:val="00DD28D0"/>
    <w:rsid w:val="00DD5348"/>
    <w:rsid w:val="00DD6B94"/>
    <w:rsid w:val="00DD70AC"/>
    <w:rsid w:val="00DE2B0C"/>
    <w:rsid w:val="00DE3673"/>
    <w:rsid w:val="00DE5485"/>
    <w:rsid w:val="00DF02B8"/>
    <w:rsid w:val="00DF06AF"/>
    <w:rsid w:val="00DF4943"/>
    <w:rsid w:val="00DF5740"/>
    <w:rsid w:val="00E04330"/>
    <w:rsid w:val="00E04B95"/>
    <w:rsid w:val="00E07188"/>
    <w:rsid w:val="00E1072B"/>
    <w:rsid w:val="00E111E0"/>
    <w:rsid w:val="00E1305F"/>
    <w:rsid w:val="00E144D3"/>
    <w:rsid w:val="00E14DCF"/>
    <w:rsid w:val="00E1745F"/>
    <w:rsid w:val="00E306CD"/>
    <w:rsid w:val="00E35194"/>
    <w:rsid w:val="00E37C95"/>
    <w:rsid w:val="00E41BFD"/>
    <w:rsid w:val="00E43430"/>
    <w:rsid w:val="00E47AB9"/>
    <w:rsid w:val="00E512A7"/>
    <w:rsid w:val="00E52485"/>
    <w:rsid w:val="00E52677"/>
    <w:rsid w:val="00E537C2"/>
    <w:rsid w:val="00E55C55"/>
    <w:rsid w:val="00E57079"/>
    <w:rsid w:val="00E606C0"/>
    <w:rsid w:val="00E607B9"/>
    <w:rsid w:val="00E622B3"/>
    <w:rsid w:val="00E6599A"/>
    <w:rsid w:val="00E659BC"/>
    <w:rsid w:val="00E660DF"/>
    <w:rsid w:val="00E700F9"/>
    <w:rsid w:val="00E71BE0"/>
    <w:rsid w:val="00E8036E"/>
    <w:rsid w:val="00E83B9F"/>
    <w:rsid w:val="00E84194"/>
    <w:rsid w:val="00E87CB6"/>
    <w:rsid w:val="00E9215F"/>
    <w:rsid w:val="00E927C9"/>
    <w:rsid w:val="00E96E1B"/>
    <w:rsid w:val="00E97411"/>
    <w:rsid w:val="00EA006F"/>
    <w:rsid w:val="00EA05E3"/>
    <w:rsid w:val="00EA1222"/>
    <w:rsid w:val="00EA1940"/>
    <w:rsid w:val="00EA322A"/>
    <w:rsid w:val="00EA47B4"/>
    <w:rsid w:val="00EA5640"/>
    <w:rsid w:val="00EB0314"/>
    <w:rsid w:val="00EB0501"/>
    <w:rsid w:val="00EB0A71"/>
    <w:rsid w:val="00EB2C7E"/>
    <w:rsid w:val="00EC3BF9"/>
    <w:rsid w:val="00EC64CC"/>
    <w:rsid w:val="00EC6E9F"/>
    <w:rsid w:val="00ED3088"/>
    <w:rsid w:val="00ED45F8"/>
    <w:rsid w:val="00ED5A35"/>
    <w:rsid w:val="00ED7594"/>
    <w:rsid w:val="00ED79AD"/>
    <w:rsid w:val="00ED7F9F"/>
    <w:rsid w:val="00EE31D3"/>
    <w:rsid w:val="00EE4F97"/>
    <w:rsid w:val="00EE5E03"/>
    <w:rsid w:val="00EE7C24"/>
    <w:rsid w:val="00EF1CB7"/>
    <w:rsid w:val="00EF655E"/>
    <w:rsid w:val="00F050FE"/>
    <w:rsid w:val="00F0737C"/>
    <w:rsid w:val="00F110CA"/>
    <w:rsid w:val="00F11F12"/>
    <w:rsid w:val="00F146B1"/>
    <w:rsid w:val="00F15A84"/>
    <w:rsid w:val="00F15E0C"/>
    <w:rsid w:val="00F237CF"/>
    <w:rsid w:val="00F249C3"/>
    <w:rsid w:val="00F24C66"/>
    <w:rsid w:val="00F2665E"/>
    <w:rsid w:val="00F272A3"/>
    <w:rsid w:val="00F30343"/>
    <w:rsid w:val="00F325FD"/>
    <w:rsid w:val="00F32A8A"/>
    <w:rsid w:val="00F33212"/>
    <w:rsid w:val="00F35531"/>
    <w:rsid w:val="00F366D1"/>
    <w:rsid w:val="00F4035C"/>
    <w:rsid w:val="00F40C88"/>
    <w:rsid w:val="00F445B8"/>
    <w:rsid w:val="00F504DA"/>
    <w:rsid w:val="00F50853"/>
    <w:rsid w:val="00F561EC"/>
    <w:rsid w:val="00F57BFA"/>
    <w:rsid w:val="00F61644"/>
    <w:rsid w:val="00F617F3"/>
    <w:rsid w:val="00F63109"/>
    <w:rsid w:val="00F6532A"/>
    <w:rsid w:val="00F664E0"/>
    <w:rsid w:val="00F6718A"/>
    <w:rsid w:val="00F710E8"/>
    <w:rsid w:val="00F7721F"/>
    <w:rsid w:val="00F7773B"/>
    <w:rsid w:val="00F80F0F"/>
    <w:rsid w:val="00F838E9"/>
    <w:rsid w:val="00F841C3"/>
    <w:rsid w:val="00F842A7"/>
    <w:rsid w:val="00F8476D"/>
    <w:rsid w:val="00F853F4"/>
    <w:rsid w:val="00F902BE"/>
    <w:rsid w:val="00F9304B"/>
    <w:rsid w:val="00F93086"/>
    <w:rsid w:val="00F94324"/>
    <w:rsid w:val="00FA0812"/>
    <w:rsid w:val="00FA1FA5"/>
    <w:rsid w:val="00FA30F7"/>
    <w:rsid w:val="00FA3453"/>
    <w:rsid w:val="00FA491B"/>
    <w:rsid w:val="00FB7E30"/>
    <w:rsid w:val="00FC0D96"/>
    <w:rsid w:val="00FC17F3"/>
    <w:rsid w:val="00FC3731"/>
    <w:rsid w:val="00FC3C1E"/>
    <w:rsid w:val="00FC618A"/>
    <w:rsid w:val="00FD181E"/>
    <w:rsid w:val="00FD65B5"/>
    <w:rsid w:val="00FE7DB0"/>
    <w:rsid w:val="00FF4D04"/>
    <w:rsid w:val="00FF56EE"/>
    <w:rsid w:val="00FF60A0"/>
    <w:rsid w:val="00FF72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902BE"/>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nhideWhenUsed/>
    <w:qFormat/>
    <w:rsid w:val="00481CA9"/>
    <w:rPr>
      <w:sz w:val="16"/>
      <w:szCs w:val="16"/>
    </w:rPr>
  </w:style>
  <w:style w:type="paragraph" w:styleId="CommentText">
    <w:name w:val="annotation text"/>
    <w:basedOn w:val="Normal"/>
    <w:link w:val="CommentTextChar"/>
    <w:unhideWhenUsed/>
    <w:qFormat/>
    <w:rsid w:val="00481CA9"/>
    <w:rPr>
      <w:sz w:val="20"/>
      <w:szCs w:val="20"/>
    </w:rPr>
  </w:style>
  <w:style w:type="character" w:customStyle="1" w:styleId="CommentTextChar">
    <w:name w:val="Comment Text Char"/>
    <w:basedOn w:val="DefaultParagraphFont"/>
    <w:link w:val="CommentText"/>
    <w:qFormat/>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62708203">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506915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7917752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1496408">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69511762">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A7C1A-F7A5-4ACC-BA0B-AC5D0D7B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purl.org/dc/elements/1.1/"/>
    <ds:schemaRef ds:uri="http://schemas.microsoft.com/office/2006/metadata/properties"/>
    <ds:schemaRef ds:uri="8c5f69da-4e09-4fb7-9d75-fde273378258"/>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64D955FE-DC80-4617-B7DF-086FAAD4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1337</Words>
  <Characters>6960</Characters>
  <Application>Microsoft Office Word</Application>
  <DocSecurity>0</DocSecurity>
  <Lines>117</Lines>
  <Paragraphs>51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54</cp:revision>
  <dcterms:created xsi:type="dcterms:W3CDTF">2020-04-11T05:12:00Z</dcterms:created>
  <dcterms:modified xsi:type="dcterms:W3CDTF">2020-04-11T06:03:00Z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2020-04-11 06:03:34Z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